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BD" w:rsidRPr="009666BD" w:rsidRDefault="009666BD" w:rsidP="009666BD">
      <w:pPr>
        <w:spacing w:line="450" w:lineRule="atLeast"/>
        <w:jc w:val="center"/>
        <w:textAlignment w:val="baseline"/>
        <w:rPr>
          <w:rFonts w:ascii="ProbaPro" w:eastAsia="Times New Roman" w:hAnsi="ProbaPro" w:cs="Times New Roman"/>
          <w:b/>
          <w:bCs/>
          <w:caps/>
          <w:color w:val="1D1D1B"/>
          <w:spacing w:val="30"/>
          <w:sz w:val="41"/>
          <w:szCs w:val="41"/>
          <w:lang/>
        </w:rPr>
      </w:pPr>
      <w:bookmarkStart w:id="0" w:name="_GoBack"/>
      <w:bookmarkEnd w:id="0"/>
      <w:r w:rsidRPr="009666BD">
        <w:rPr>
          <w:rFonts w:ascii="ProbaPro" w:eastAsia="Times New Roman" w:hAnsi="ProbaPro" w:cs="Times New Roman"/>
          <w:b/>
          <w:bCs/>
          <w:caps/>
          <w:color w:val="1D1D1B"/>
          <w:spacing w:val="30"/>
          <w:sz w:val="41"/>
          <w:szCs w:val="41"/>
          <w:lang/>
        </w:rPr>
        <w:t>КАБІНЕТ МІНІСТРІВ УКРАЇНИ</w:t>
      </w:r>
    </w:p>
    <w:p w:rsidR="009666BD" w:rsidRPr="009666BD" w:rsidRDefault="009666BD" w:rsidP="009666BD">
      <w:pPr>
        <w:spacing w:after="0" w:line="450" w:lineRule="atLeast"/>
        <w:jc w:val="center"/>
        <w:textAlignment w:val="baseline"/>
        <w:rPr>
          <w:rFonts w:ascii="ProbaPro" w:eastAsia="Times New Roman" w:hAnsi="ProbaPro" w:cs="Times New Roman"/>
          <w:b/>
          <w:bCs/>
          <w:caps/>
          <w:color w:val="1D1D1B"/>
          <w:spacing w:val="30"/>
          <w:sz w:val="27"/>
          <w:szCs w:val="27"/>
          <w:lang/>
        </w:rPr>
      </w:pPr>
      <w:r w:rsidRPr="009666BD">
        <w:rPr>
          <w:rFonts w:ascii="ProbaPro" w:eastAsia="Times New Roman" w:hAnsi="ProbaPro" w:cs="Times New Roman"/>
          <w:b/>
          <w:bCs/>
          <w:caps/>
          <w:color w:val="1D1D1B"/>
          <w:spacing w:val="30"/>
          <w:sz w:val="27"/>
          <w:szCs w:val="27"/>
          <w:lang/>
        </w:rPr>
        <w:t>ПОСТАНОВА</w:t>
      </w:r>
    </w:p>
    <w:p w:rsidR="009666BD" w:rsidRPr="009666BD" w:rsidRDefault="009666BD" w:rsidP="009666BD">
      <w:pPr>
        <w:spacing w:after="0" w:line="450" w:lineRule="atLeast"/>
        <w:jc w:val="center"/>
        <w:textAlignment w:val="baseline"/>
        <w:rPr>
          <w:rFonts w:ascii="ProbaPro" w:eastAsia="Times New Roman" w:hAnsi="ProbaPro" w:cs="Times New Roman"/>
          <w:color w:val="1D1D1B"/>
          <w:spacing w:val="15"/>
          <w:sz w:val="24"/>
          <w:szCs w:val="24"/>
          <w:lang/>
        </w:rPr>
      </w:pPr>
      <w:r w:rsidRPr="009666BD">
        <w:rPr>
          <w:rFonts w:ascii="ProbaPro" w:eastAsia="Times New Roman" w:hAnsi="ProbaPro" w:cs="Times New Roman"/>
          <w:color w:val="1D1D1B"/>
          <w:spacing w:val="15"/>
          <w:sz w:val="24"/>
          <w:szCs w:val="24"/>
          <w:lang/>
        </w:rPr>
        <w:t>від 18 березня 2022 р. № 314</w:t>
      </w:r>
    </w:p>
    <w:p w:rsidR="009666BD" w:rsidRPr="009666BD" w:rsidRDefault="009666BD" w:rsidP="009666BD">
      <w:pPr>
        <w:spacing w:line="240" w:lineRule="auto"/>
        <w:jc w:val="center"/>
        <w:textAlignment w:val="baseline"/>
        <w:rPr>
          <w:rFonts w:ascii="ProbaPro" w:eastAsia="Times New Roman" w:hAnsi="ProbaPro" w:cs="Times New Roman"/>
          <w:sz w:val="27"/>
          <w:szCs w:val="27"/>
          <w:lang/>
        </w:rPr>
      </w:pPr>
      <w:r w:rsidRPr="009666BD">
        <w:rPr>
          <w:rFonts w:ascii="ProbaPro" w:eastAsia="Times New Roman" w:hAnsi="ProbaPro" w:cs="Times New Roman"/>
          <w:sz w:val="27"/>
          <w:szCs w:val="27"/>
          <w:lang/>
        </w:rPr>
        <w:t>Київ</w:t>
      </w:r>
    </w:p>
    <w:p w:rsidR="009666BD" w:rsidRPr="009666BD" w:rsidRDefault="009666BD" w:rsidP="009666BD">
      <w:pPr>
        <w:spacing w:line="360" w:lineRule="atLeast"/>
        <w:jc w:val="center"/>
        <w:textAlignment w:val="baseline"/>
        <w:rPr>
          <w:rFonts w:ascii="ProbaPro" w:eastAsia="Times New Roman" w:hAnsi="ProbaPro" w:cs="Times New Roman"/>
          <w:b/>
          <w:bCs/>
          <w:sz w:val="27"/>
          <w:szCs w:val="27"/>
          <w:lang/>
        </w:rPr>
      </w:pPr>
      <w:r w:rsidRPr="009666BD">
        <w:rPr>
          <w:rFonts w:ascii="ProbaPro" w:eastAsia="Times New Roman" w:hAnsi="ProbaPro" w:cs="Times New Roman"/>
          <w:b/>
          <w:bCs/>
          <w:sz w:val="27"/>
          <w:szCs w:val="27"/>
          <w:lang/>
        </w:rPr>
        <w:t>Деякі питання забезпечення провадження господарської діяльності в умовах воєнного стану</w:t>
      </w:r>
    </w:p>
    <w:p w:rsidR="009666BD" w:rsidRPr="009666BD" w:rsidRDefault="009666BD" w:rsidP="009666BD">
      <w:pPr>
        <w:shd w:val="clear" w:color="auto" w:fill="FFFFFF"/>
        <w:spacing w:after="0"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Відповідно до Указу Президента України від 24 лютого 2022 р. № 64 “Про введення воєнного стану в Україні” Кабінет Міністрів України </w:t>
      </w:r>
      <w:r w:rsidRPr="009666BD">
        <w:rPr>
          <w:rFonts w:ascii="ProbaPro" w:eastAsia="Times New Roman" w:hAnsi="ProbaPro" w:cs="Times New Roman"/>
          <w:b/>
          <w:bCs/>
          <w:color w:val="1D1D1B"/>
          <w:sz w:val="27"/>
          <w:szCs w:val="27"/>
          <w:bdr w:val="none" w:sz="0" w:space="0" w:color="auto" w:frame="1"/>
          <w:lang/>
        </w:rPr>
        <w:t>постановляє:</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1. Установити, що:</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1) у період воєнного стану право на провадження господарської діяльності може набуватися суб’єктами господарювання на підставі подання до Міністерства економіки, а суб’єктами господарювання, що здійснюють охоронну діяльність, — до Міністерства внутрішніх справ, декларації про провадження господарської діяльності (далі — декларація), що містить відомості згідно з додатком 1, без отримання дозвільних документів (документів дозвільного характеру, ліцензій або інших результатів надання публічних послуг), крім видів господарської діяльності за переліком згідно з додатком 2;</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2) декларація може бути подана за вибором суб’єкта господарювання незалежно від задекларованого (зареєстрованого) місцезнаходження (місця проживання), місця провадження господарської діяльності або місцезнаходження відповідного об’єкта:</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в електронній формі — через Єдиний державний веб-портал електронних послуг, зокрема засобами мобільного додатку Порталу Дія (Дія);</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у паперовій формі — через центр надання адміністративних послуг, подана особисто суб’єктом господарювання або уповноваженою особою, надіслана поштою;</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 xml:space="preserve">3) суб’єкти господарювання, які набули право на провадження господарської діяльності на підставі декларації, у разі відсутності відповідних дозвільних документів (документи дозвільного характеру, ліцензії та/або інші результати надання публічних послуг), невідкладно, але не пізніше одного місяця після припинення чи скасування воєнного стану звертаються до відповідних органів </w:t>
      </w:r>
      <w:r w:rsidRPr="009666BD">
        <w:rPr>
          <w:rFonts w:ascii="ProbaPro" w:eastAsia="Times New Roman" w:hAnsi="ProbaPro" w:cs="Times New Roman"/>
          <w:color w:val="1D1D1B"/>
          <w:sz w:val="27"/>
          <w:szCs w:val="27"/>
          <w:lang/>
        </w:rPr>
        <w:lastRenderedPageBreak/>
        <w:t>ліцензування, дозвільних органів та суб’єктів надання публічних (електронних публічних) послуг і отримують відповідні дозвільні документи в порядку, строки та на умовах, передбачених законодавством, без зупинення (припинення) їх діяльності;</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4) на період воєнного стану зупиняється перебіг строків звернення за отриманням публічних послуг, визначених законодавством. З дня припинення чи скасування воєнного стану перебіг зазначених строків продовжується з урахуванням часу, що минув до їх зупинення;</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5) строки дії діючих строкових ліцензій та документів дозвільного характеру автоматично продовжуються на період воєнного стану.</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2. Міністерству економіки у період воєнного стану, а також протягом одного тижня з дня припинення чи скасування воєнного стану щодня повідомляти відповідним органам ліцензування, дозвільним органам та суб’єктам надання публічних (електронних публічних) послуг інформацію про суб’єктів господарювання, які набули право на провадження господарської діяльності на підставі декларації, види господарської діяльності, які ними провадяться, та їх місцезнаходження, шляхом перенаправлення отриманих декларацій.</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3. Міністерству цифрової трансформації разом з Міністерством економіки та Міністерством внутрішніх справ протягом одного тижня з дня набрання чинності цією постановою забезпечити технічну можливість подання декларації.</w:t>
      </w:r>
    </w:p>
    <w:p w:rsidR="009666BD" w:rsidRPr="009666BD" w:rsidRDefault="009666BD" w:rsidP="009666BD">
      <w:pPr>
        <w:shd w:val="clear" w:color="auto" w:fill="FFFFFF"/>
        <w:spacing w:after="225"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4. Ця постанова набирає чинності з дня її опублікування та діє до дня припинення чи скасування воєнного стану.</w:t>
      </w:r>
    </w:p>
    <w:p w:rsidR="009666BD" w:rsidRPr="009666BD" w:rsidRDefault="009666BD" w:rsidP="009666BD">
      <w:pPr>
        <w:shd w:val="clear" w:color="auto" w:fill="FFFFFF"/>
        <w:spacing w:after="0" w:line="405" w:lineRule="atLeast"/>
        <w:jc w:val="both"/>
        <w:textAlignment w:val="baseline"/>
        <w:rPr>
          <w:rFonts w:ascii="ProbaPro" w:eastAsia="Times New Roman" w:hAnsi="ProbaPro" w:cs="Times New Roman"/>
          <w:color w:val="1D1D1B"/>
          <w:sz w:val="27"/>
          <w:szCs w:val="27"/>
          <w:lang/>
        </w:rPr>
      </w:pPr>
      <w:r w:rsidRPr="009666BD">
        <w:rPr>
          <w:rFonts w:ascii="ProbaPro" w:eastAsia="Times New Roman" w:hAnsi="ProbaPro" w:cs="Times New Roman"/>
          <w:color w:val="1D1D1B"/>
          <w:sz w:val="27"/>
          <w:szCs w:val="27"/>
          <w:lang/>
        </w:rPr>
        <w:t>             </w:t>
      </w:r>
      <w:r w:rsidRPr="009666BD">
        <w:rPr>
          <w:rFonts w:ascii="ProbaPro" w:eastAsia="Times New Roman" w:hAnsi="ProbaPro" w:cs="Times New Roman"/>
          <w:b/>
          <w:bCs/>
          <w:color w:val="1D1D1B"/>
          <w:sz w:val="27"/>
          <w:szCs w:val="27"/>
          <w:bdr w:val="none" w:sz="0" w:space="0" w:color="auto" w:frame="1"/>
          <w:lang/>
        </w:rPr>
        <w:t> Прем’єр-міністр України                       Д. ШМИГАЛЬ</w:t>
      </w:r>
    </w:p>
    <w:p w:rsidR="009666BD" w:rsidRDefault="009666BD">
      <w:pPr>
        <w:rPr>
          <w:lang w:val="en-US"/>
        </w:rPr>
      </w:pPr>
    </w:p>
    <w:p w:rsidR="000B6813" w:rsidRPr="00664A57" w:rsidRDefault="000B6813" w:rsidP="00664A57">
      <w:pPr>
        <w:pStyle w:val="ShapkaDocumentu"/>
        <w:rPr>
          <w:rFonts w:ascii="Times New Roman" w:hAnsi="Times New Roman"/>
          <w:sz w:val="28"/>
          <w:szCs w:val="28"/>
        </w:rPr>
      </w:pPr>
      <w:r w:rsidRPr="00664A57">
        <w:rPr>
          <w:rFonts w:ascii="Times New Roman" w:hAnsi="Times New Roman"/>
          <w:sz w:val="28"/>
          <w:szCs w:val="28"/>
          <w:highlight w:val="white"/>
        </w:rPr>
        <w:t>Додаток 1</w:t>
      </w:r>
      <w:r w:rsidRPr="00664A57">
        <w:rPr>
          <w:rFonts w:ascii="Times New Roman" w:hAnsi="Times New Roman"/>
          <w:sz w:val="28"/>
          <w:szCs w:val="28"/>
          <w:highlight w:val="white"/>
        </w:rPr>
        <w:br/>
        <w:t>до постанови Кабінету Міністрів України</w:t>
      </w:r>
      <w:r w:rsidRPr="00664A57">
        <w:rPr>
          <w:rFonts w:ascii="Times New Roman" w:hAnsi="Times New Roman"/>
          <w:sz w:val="28"/>
          <w:szCs w:val="28"/>
          <w:highlight w:val="white"/>
        </w:rPr>
        <w:br/>
        <w:t xml:space="preserve">від </w:t>
      </w:r>
      <w:r>
        <w:rPr>
          <w:rFonts w:ascii="Times New Roman" w:hAnsi="Times New Roman"/>
          <w:sz w:val="28"/>
          <w:szCs w:val="28"/>
        </w:rPr>
        <w:t xml:space="preserve">18 березня </w:t>
      </w:r>
      <w:r w:rsidRPr="00664A57">
        <w:rPr>
          <w:rFonts w:ascii="Times New Roman" w:hAnsi="Times New Roman"/>
          <w:sz w:val="28"/>
          <w:szCs w:val="28"/>
        </w:rPr>
        <w:t xml:space="preserve">2022 р. № </w:t>
      </w:r>
      <w:r>
        <w:rPr>
          <w:rFonts w:ascii="Times New Roman" w:hAnsi="Times New Roman"/>
          <w:sz w:val="28"/>
          <w:szCs w:val="28"/>
        </w:rPr>
        <w:t>314</w:t>
      </w:r>
      <w:r w:rsidRPr="00664A57">
        <w:rPr>
          <w:rFonts w:ascii="Times New Roman" w:hAnsi="Times New Roman"/>
          <w:sz w:val="28"/>
          <w:szCs w:val="28"/>
        </w:rPr>
        <w:t xml:space="preserve">    </w:t>
      </w:r>
    </w:p>
    <w:p w:rsidR="000B6813" w:rsidRPr="00664A57" w:rsidRDefault="000B6813" w:rsidP="00664A57">
      <w:pPr>
        <w:pStyle w:val="a6"/>
        <w:rPr>
          <w:rFonts w:ascii="Times New Roman" w:hAnsi="Times New Roman"/>
          <w:b w:val="0"/>
          <w:sz w:val="28"/>
          <w:szCs w:val="28"/>
        </w:rPr>
      </w:pPr>
      <w:bookmarkStart w:id="1" w:name="_rmrhvtbr85hj" w:colFirst="0" w:colLast="0"/>
      <w:bookmarkStart w:id="2" w:name="_sr2bbyyfkscx"/>
      <w:bookmarkEnd w:id="1"/>
      <w:bookmarkEnd w:id="2"/>
      <w:r w:rsidRPr="00664A57">
        <w:rPr>
          <w:rFonts w:ascii="Times New Roman" w:hAnsi="Times New Roman"/>
          <w:b w:val="0"/>
          <w:sz w:val="28"/>
          <w:szCs w:val="28"/>
        </w:rPr>
        <w:t>ПЕРЕЛІК</w:t>
      </w:r>
      <w:r w:rsidRPr="00664A57">
        <w:rPr>
          <w:rFonts w:ascii="Times New Roman" w:hAnsi="Times New Roman"/>
          <w:b w:val="0"/>
          <w:sz w:val="28"/>
          <w:szCs w:val="28"/>
        </w:rPr>
        <w:br/>
        <w:t xml:space="preserve">відомостей, які вносяться до декларації </w:t>
      </w:r>
      <w:r w:rsidRPr="00664A57">
        <w:rPr>
          <w:rFonts w:ascii="Times New Roman" w:hAnsi="Times New Roman"/>
          <w:b w:val="0"/>
          <w:sz w:val="28"/>
          <w:szCs w:val="28"/>
        </w:rPr>
        <w:br/>
        <w:t>про провадження господарської діяльності</w:t>
      </w:r>
    </w:p>
    <w:p w:rsidR="000B6813" w:rsidRPr="00664A57" w:rsidRDefault="000B6813" w:rsidP="00664A57">
      <w:pPr>
        <w:pStyle w:val="a5"/>
        <w:rPr>
          <w:rFonts w:ascii="Times New Roman" w:hAnsi="Times New Roman"/>
          <w:sz w:val="28"/>
          <w:szCs w:val="28"/>
        </w:rPr>
      </w:pPr>
      <w:r w:rsidRPr="00664A57">
        <w:rPr>
          <w:rFonts w:ascii="Times New Roman" w:hAnsi="Times New Roman"/>
          <w:sz w:val="28"/>
          <w:szCs w:val="28"/>
        </w:rPr>
        <w:t>1. Відомості про суб’єкта господарювання:</w:t>
      </w:r>
    </w:p>
    <w:p w:rsidR="000B6813" w:rsidRPr="00664A57" w:rsidRDefault="000B6813" w:rsidP="00664A57">
      <w:pPr>
        <w:pStyle w:val="a5"/>
        <w:rPr>
          <w:rFonts w:ascii="Times New Roman" w:hAnsi="Times New Roman"/>
          <w:sz w:val="28"/>
          <w:szCs w:val="28"/>
        </w:rPr>
      </w:pPr>
      <w:r w:rsidRPr="00664A57">
        <w:rPr>
          <w:rFonts w:ascii="Times New Roman" w:hAnsi="Times New Roman"/>
          <w:sz w:val="28"/>
          <w:szCs w:val="28"/>
        </w:rPr>
        <w:lastRenderedPageBreak/>
        <w:t xml:space="preserve">для юридичної  особи </w:t>
      </w:r>
      <w:r>
        <w:rPr>
          <w:rFonts w:ascii="Times New Roman" w:hAnsi="Times New Roman"/>
          <w:sz w:val="28"/>
          <w:szCs w:val="28"/>
        </w:rPr>
        <w:t xml:space="preserve">— </w:t>
      </w:r>
      <w:r w:rsidRPr="00664A57">
        <w:rPr>
          <w:rFonts w:ascii="Times New Roman" w:hAnsi="Times New Roman"/>
          <w:sz w:val="28"/>
          <w:szCs w:val="28"/>
        </w:rPr>
        <w:t>організаційно-правова форма, повне і скорочене найменування (у разі наявності), ідентифікаційний код згідно з ЄДРПОУ та місцезнаходження;</w:t>
      </w:r>
    </w:p>
    <w:p w:rsidR="000B6813" w:rsidRPr="00664A57" w:rsidRDefault="000B6813" w:rsidP="00664A57">
      <w:pPr>
        <w:pStyle w:val="a5"/>
        <w:rPr>
          <w:rFonts w:ascii="Times New Roman" w:hAnsi="Times New Roman"/>
          <w:sz w:val="28"/>
          <w:szCs w:val="28"/>
        </w:rPr>
      </w:pPr>
      <w:r w:rsidRPr="00664A57">
        <w:rPr>
          <w:rFonts w:ascii="Times New Roman" w:hAnsi="Times New Roman"/>
          <w:sz w:val="28"/>
          <w:szCs w:val="28"/>
        </w:rPr>
        <w:t xml:space="preserve">для фізичної особи </w:t>
      </w:r>
      <w:r>
        <w:rPr>
          <w:rFonts w:ascii="Times New Roman" w:hAnsi="Times New Roman"/>
          <w:sz w:val="28"/>
          <w:szCs w:val="28"/>
        </w:rPr>
        <w:t xml:space="preserve">— </w:t>
      </w:r>
      <w:r w:rsidRPr="00664A57">
        <w:rPr>
          <w:rFonts w:ascii="Times New Roman" w:hAnsi="Times New Roman"/>
          <w:sz w:val="28"/>
          <w:szCs w:val="28"/>
        </w:rPr>
        <w:t xml:space="preserve">підприємця  </w:t>
      </w:r>
      <w:r>
        <w:rPr>
          <w:rFonts w:ascii="Times New Roman" w:hAnsi="Times New Roman"/>
          <w:sz w:val="28"/>
          <w:szCs w:val="28"/>
        </w:rPr>
        <w:t xml:space="preserve">— </w:t>
      </w:r>
      <w:r w:rsidRPr="00664A57">
        <w:rPr>
          <w:rFonts w:ascii="Times New Roman" w:hAnsi="Times New Roman"/>
          <w:sz w:val="28"/>
          <w:szCs w:val="28"/>
        </w:rPr>
        <w:t>прізвище, власне ім’я, по батькові (за наявності), реєстраційний номер облікової картки платника податків або серія (за наявності),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та місце проживання.</w:t>
      </w:r>
    </w:p>
    <w:p w:rsidR="000B6813" w:rsidRPr="00664A57" w:rsidRDefault="000B6813" w:rsidP="00664A57">
      <w:pPr>
        <w:pStyle w:val="a5"/>
        <w:rPr>
          <w:rFonts w:ascii="Times New Roman" w:hAnsi="Times New Roman"/>
          <w:sz w:val="28"/>
          <w:szCs w:val="28"/>
        </w:rPr>
      </w:pPr>
      <w:r w:rsidRPr="00664A57">
        <w:rPr>
          <w:rFonts w:ascii="Times New Roman" w:hAnsi="Times New Roman"/>
          <w:sz w:val="28"/>
          <w:szCs w:val="28"/>
        </w:rPr>
        <w:t>2. Відомості про фактичну адресу (адреси) провадження господарської діяльності.</w:t>
      </w:r>
    </w:p>
    <w:p w:rsidR="000B6813" w:rsidRPr="00664A57" w:rsidRDefault="000B6813" w:rsidP="00664A57">
      <w:pPr>
        <w:pStyle w:val="a5"/>
        <w:rPr>
          <w:rFonts w:ascii="Times New Roman" w:hAnsi="Times New Roman"/>
          <w:sz w:val="28"/>
          <w:szCs w:val="28"/>
        </w:rPr>
      </w:pPr>
      <w:r w:rsidRPr="00664A57">
        <w:rPr>
          <w:rFonts w:ascii="Times New Roman" w:hAnsi="Times New Roman"/>
          <w:sz w:val="28"/>
          <w:szCs w:val="28"/>
        </w:rPr>
        <w:t>3.  Назва виду господарської діяльності, який провадиться суб’єктом господарювання.</w:t>
      </w:r>
    </w:p>
    <w:p w:rsidR="000B6813" w:rsidRPr="00664A57" w:rsidRDefault="000B6813" w:rsidP="00664A57">
      <w:pPr>
        <w:pStyle w:val="a5"/>
        <w:rPr>
          <w:rFonts w:ascii="Times New Roman" w:hAnsi="Times New Roman"/>
          <w:sz w:val="28"/>
          <w:szCs w:val="28"/>
        </w:rPr>
      </w:pPr>
      <w:r w:rsidRPr="00664A57">
        <w:rPr>
          <w:rFonts w:ascii="Times New Roman" w:hAnsi="Times New Roman"/>
          <w:sz w:val="28"/>
          <w:szCs w:val="28"/>
        </w:rPr>
        <w:t>4. Назва дозвільного документа (назви дозвільних документів) на заміну якого (яких) на період воєнного стану подана декларація.</w:t>
      </w:r>
    </w:p>
    <w:p w:rsidR="000B6813" w:rsidRPr="00664A57" w:rsidRDefault="000B6813" w:rsidP="00664A57">
      <w:pPr>
        <w:pStyle w:val="a5"/>
        <w:rPr>
          <w:rFonts w:ascii="Times New Roman" w:hAnsi="Times New Roman"/>
          <w:sz w:val="28"/>
          <w:szCs w:val="28"/>
        </w:rPr>
      </w:pPr>
      <w:r w:rsidRPr="00664A57">
        <w:rPr>
          <w:rFonts w:ascii="Times New Roman" w:hAnsi="Times New Roman"/>
          <w:sz w:val="28"/>
          <w:szCs w:val="28"/>
          <w:shd w:val="clear" w:color="auto" w:fill="FFFFFF"/>
        </w:rPr>
        <w:t xml:space="preserve">5. </w:t>
      </w:r>
      <w:r w:rsidRPr="00664A57">
        <w:rPr>
          <w:rFonts w:ascii="Times New Roman" w:hAnsi="Times New Roman"/>
          <w:sz w:val="28"/>
          <w:szCs w:val="28"/>
        </w:rPr>
        <w:t>Відмітка про те, що суб’єкт господарювання ознайомлений з вимогами законодавства, якими встановлено вичерпний перелік вимог до провадження господарської діяльності, що підлягає ліцензуванню, отриманню документа дозвільного характеру, іншого результату надання публічної послуги, на заміну якого подана декларація, та зобов’язується їх виконувати.</w:t>
      </w:r>
    </w:p>
    <w:p w:rsidR="000B6813" w:rsidRPr="00822E05" w:rsidRDefault="000B6813" w:rsidP="00664A57">
      <w:pPr>
        <w:jc w:val="both"/>
        <w:rPr>
          <w:sz w:val="28"/>
          <w:szCs w:val="28"/>
        </w:rPr>
      </w:pPr>
    </w:p>
    <w:p w:rsidR="000B6813" w:rsidRDefault="000B6813" w:rsidP="00664A57">
      <w:pPr>
        <w:jc w:val="center"/>
        <w:rPr>
          <w:sz w:val="28"/>
          <w:szCs w:val="28"/>
        </w:rPr>
      </w:pPr>
      <w:r>
        <w:rPr>
          <w:sz w:val="28"/>
          <w:szCs w:val="28"/>
        </w:rPr>
        <w:t>________________________</w:t>
      </w:r>
    </w:p>
    <w:p w:rsidR="000B6813" w:rsidRDefault="000B6813" w:rsidP="00664A57">
      <w:pPr>
        <w:jc w:val="center"/>
        <w:rPr>
          <w:sz w:val="28"/>
          <w:szCs w:val="28"/>
        </w:rPr>
      </w:pPr>
    </w:p>
    <w:p w:rsidR="000B6813" w:rsidRDefault="000B6813" w:rsidP="00664A57">
      <w:pPr>
        <w:jc w:val="center"/>
        <w:rPr>
          <w:sz w:val="28"/>
          <w:szCs w:val="28"/>
        </w:rPr>
        <w:sectPr w:rsidR="000B6813" w:rsidSect="00016642">
          <w:headerReference w:type="default" r:id="rId5"/>
          <w:pgSz w:w="11906" w:h="16838"/>
          <w:pgMar w:top="1134" w:right="850" w:bottom="1134" w:left="1701" w:header="708" w:footer="708" w:gutter="0"/>
          <w:cols w:space="708"/>
          <w:docGrid w:linePitch="360"/>
        </w:sectPr>
      </w:pPr>
    </w:p>
    <w:p w:rsidR="000B6813" w:rsidRPr="00664A57" w:rsidRDefault="000B6813" w:rsidP="00664A57">
      <w:pPr>
        <w:pStyle w:val="ShapkaDocumentu"/>
        <w:rPr>
          <w:rFonts w:ascii="Times New Roman" w:hAnsi="Times New Roman"/>
          <w:sz w:val="28"/>
          <w:szCs w:val="28"/>
        </w:rPr>
      </w:pPr>
      <w:r w:rsidRPr="00664A57">
        <w:rPr>
          <w:rFonts w:ascii="Times New Roman" w:hAnsi="Times New Roman"/>
          <w:sz w:val="28"/>
          <w:szCs w:val="28"/>
          <w:highlight w:val="white"/>
        </w:rPr>
        <w:lastRenderedPageBreak/>
        <w:t>Додаток 2</w:t>
      </w:r>
      <w:r w:rsidRPr="00664A57">
        <w:rPr>
          <w:rFonts w:ascii="Times New Roman" w:hAnsi="Times New Roman"/>
          <w:sz w:val="28"/>
          <w:szCs w:val="28"/>
          <w:highlight w:val="white"/>
        </w:rPr>
        <w:br/>
        <w:t>до постанови Кабінету Міністрів України</w:t>
      </w:r>
      <w:r w:rsidRPr="00664A57">
        <w:rPr>
          <w:rFonts w:ascii="Times New Roman" w:hAnsi="Times New Roman"/>
          <w:sz w:val="28"/>
          <w:szCs w:val="28"/>
          <w:highlight w:val="white"/>
        </w:rPr>
        <w:br/>
      </w:r>
      <w:r w:rsidRPr="00664A57">
        <w:rPr>
          <w:rFonts w:ascii="Times New Roman" w:hAnsi="Times New Roman"/>
          <w:sz w:val="28"/>
          <w:szCs w:val="28"/>
        </w:rPr>
        <w:t xml:space="preserve">від </w:t>
      </w:r>
      <w:r>
        <w:rPr>
          <w:rFonts w:ascii="Times New Roman" w:hAnsi="Times New Roman"/>
          <w:sz w:val="28"/>
          <w:szCs w:val="28"/>
        </w:rPr>
        <w:t>18 березня</w:t>
      </w:r>
      <w:r w:rsidRPr="00664A57">
        <w:rPr>
          <w:rFonts w:ascii="Times New Roman" w:hAnsi="Times New Roman"/>
          <w:sz w:val="28"/>
          <w:szCs w:val="28"/>
        </w:rPr>
        <w:t xml:space="preserve"> 2022 р. № </w:t>
      </w:r>
      <w:r>
        <w:rPr>
          <w:rFonts w:ascii="Times New Roman" w:hAnsi="Times New Roman"/>
          <w:sz w:val="28"/>
          <w:szCs w:val="28"/>
        </w:rPr>
        <w:t>314</w:t>
      </w:r>
      <w:r w:rsidRPr="00664A57">
        <w:rPr>
          <w:rFonts w:ascii="Times New Roman" w:hAnsi="Times New Roman"/>
          <w:sz w:val="28"/>
          <w:szCs w:val="28"/>
        </w:rPr>
        <w:t xml:space="preserve">   </w:t>
      </w:r>
    </w:p>
    <w:p w:rsidR="000B6813" w:rsidRPr="00664A57" w:rsidRDefault="000B6813" w:rsidP="00664A57">
      <w:pPr>
        <w:pStyle w:val="a6"/>
        <w:rPr>
          <w:rFonts w:ascii="Times New Roman" w:hAnsi="Times New Roman"/>
          <w:b w:val="0"/>
          <w:sz w:val="28"/>
          <w:szCs w:val="28"/>
        </w:rPr>
      </w:pPr>
      <w:r w:rsidRPr="00664A57">
        <w:rPr>
          <w:rFonts w:ascii="Times New Roman" w:hAnsi="Times New Roman"/>
          <w:b w:val="0"/>
          <w:sz w:val="28"/>
          <w:szCs w:val="28"/>
        </w:rPr>
        <w:t>ПЕРЕЛІК</w:t>
      </w:r>
      <w:r>
        <w:rPr>
          <w:rFonts w:ascii="Times New Roman" w:hAnsi="Times New Roman"/>
          <w:b w:val="0"/>
          <w:sz w:val="28"/>
          <w:szCs w:val="28"/>
        </w:rPr>
        <w:br/>
      </w:r>
      <w:r w:rsidRPr="00664A57">
        <w:rPr>
          <w:rFonts w:ascii="Times New Roman" w:hAnsi="Times New Roman"/>
          <w:b w:val="0"/>
          <w:sz w:val="28"/>
          <w:szCs w:val="28"/>
        </w:rPr>
        <w:t xml:space="preserve">видів господарської діяльності, які не можуть провадитися  </w:t>
      </w:r>
      <w:r>
        <w:rPr>
          <w:rFonts w:ascii="Times New Roman" w:hAnsi="Times New Roman"/>
          <w:b w:val="0"/>
          <w:sz w:val="28"/>
          <w:szCs w:val="28"/>
        </w:rPr>
        <w:br/>
      </w:r>
      <w:r w:rsidRPr="00664A57">
        <w:rPr>
          <w:rFonts w:ascii="Times New Roman" w:hAnsi="Times New Roman"/>
          <w:b w:val="0"/>
          <w:sz w:val="28"/>
          <w:szCs w:val="28"/>
        </w:rPr>
        <w:t>на підставі подання декларації в умовах воєнного стану</w:t>
      </w:r>
    </w:p>
    <w:p w:rsidR="000B6813" w:rsidRPr="00FD4C32" w:rsidRDefault="000B6813" w:rsidP="00664A57">
      <w:pPr>
        <w:jc w:val="center"/>
        <w:rPr>
          <w:bCs/>
          <w:color w:val="000000"/>
          <w:sz w:val="24"/>
          <w:szCs w:val="24"/>
        </w:rPr>
      </w:pPr>
    </w:p>
    <w:tbl>
      <w:tblPr>
        <w:tblW w:w="5098" w:type="pct"/>
        <w:tblCellMar>
          <w:top w:w="15" w:type="dxa"/>
          <w:left w:w="15" w:type="dxa"/>
          <w:bottom w:w="15" w:type="dxa"/>
          <w:right w:w="15" w:type="dxa"/>
        </w:tblCellMar>
        <w:tblLook w:val="04A0" w:firstRow="1" w:lastRow="0" w:firstColumn="1" w:lastColumn="0" w:noHBand="0" w:noVBand="1"/>
      </w:tblPr>
      <w:tblGrid>
        <w:gridCol w:w="6383"/>
        <w:gridCol w:w="3359"/>
      </w:tblGrid>
      <w:tr w:rsidR="000B6813" w:rsidRPr="00EF7CCA" w:rsidTr="00664A57">
        <w:trPr>
          <w:trHeight w:val="20"/>
          <w:tblHeader/>
        </w:trPr>
        <w:tc>
          <w:tcPr>
            <w:tcW w:w="3276" w:type="pct"/>
            <w:tcBorders>
              <w:top w:val="single" w:sz="4" w:space="0" w:color="auto"/>
              <w:bottom w:val="single" w:sz="4" w:space="0" w:color="auto"/>
              <w:right w:val="single" w:sz="4" w:space="0" w:color="auto"/>
            </w:tcBorders>
            <w:tcMar>
              <w:top w:w="100" w:type="dxa"/>
              <w:left w:w="100" w:type="dxa"/>
              <w:bottom w:w="100" w:type="dxa"/>
              <w:right w:w="100" w:type="dxa"/>
            </w:tcMar>
            <w:vAlign w:val="center"/>
            <w:hideMark/>
          </w:tcPr>
          <w:p w:rsidR="000B6813" w:rsidRPr="00EF7CCA" w:rsidRDefault="000B6813" w:rsidP="00664A57">
            <w:pPr>
              <w:pStyle w:val="a5"/>
              <w:spacing w:before="80" w:line="228" w:lineRule="auto"/>
              <w:ind w:firstLine="0"/>
              <w:jc w:val="center"/>
              <w:rPr>
                <w:rFonts w:ascii="Times New Roman" w:hAnsi="Times New Roman"/>
                <w:szCs w:val="26"/>
              </w:rPr>
            </w:pPr>
            <w:r w:rsidRPr="00EF7CCA">
              <w:rPr>
                <w:rFonts w:ascii="Times New Roman" w:hAnsi="Times New Roman"/>
                <w:szCs w:val="26"/>
              </w:rPr>
              <w:t>Вид  господарської діяльності</w:t>
            </w:r>
          </w:p>
        </w:tc>
        <w:tc>
          <w:tcPr>
            <w:tcW w:w="1724" w:type="pct"/>
            <w:tcBorders>
              <w:top w:val="single" w:sz="4" w:space="0" w:color="auto"/>
              <w:left w:val="single" w:sz="4" w:space="0" w:color="auto"/>
              <w:bottom w:val="single" w:sz="4" w:space="0" w:color="auto"/>
            </w:tcBorders>
            <w:tcMar>
              <w:top w:w="100" w:type="dxa"/>
              <w:left w:w="100" w:type="dxa"/>
              <w:bottom w:w="100" w:type="dxa"/>
              <w:right w:w="100" w:type="dxa"/>
            </w:tcMar>
            <w:vAlign w:val="center"/>
            <w:hideMark/>
          </w:tcPr>
          <w:p w:rsidR="000B6813" w:rsidRPr="00EF7CCA" w:rsidRDefault="000B6813" w:rsidP="00664A57">
            <w:pPr>
              <w:pStyle w:val="a5"/>
              <w:spacing w:before="80" w:line="228" w:lineRule="auto"/>
              <w:ind w:firstLine="0"/>
              <w:jc w:val="center"/>
              <w:rPr>
                <w:rFonts w:ascii="Times New Roman" w:hAnsi="Times New Roman"/>
                <w:szCs w:val="26"/>
              </w:rPr>
            </w:pPr>
            <w:r w:rsidRPr="00EF7CCA">
              <w:rPr>
                <w:rFonts w:ascii="Times New Roman" w:hAnsi="Times New Roman"/>
                <w:szCs w:val="26"/>
              </w:rPr>
              <w:t xml:space="preserve">Вид документа, </w:t>
            </w:r>
            <w:r w:rsidRPr="00EF7CCA">
              <w:rPr>
                <w:rFonts w:ascii="Times New Roman" w:hAnsi="Times New Roman"/>
                <w:szCs w:val="26"/>
              </w:rPr>
              <w:br/>
              <w:t>який дає право на провадження господарської діяльності</w:t>
            </w:r>
          </w:p>
        </w:tc>
      </w:tr>
      <w:tr w:rsidR="000B6813" w:rsidRPr="00EF7CCA" w:rsidTr="00664A57">
        <w:trPr>
          <w:trHeight w:val="20"/>
        </w:trPr>
        <w:tc>
          <w:tcPr>
            <w:tcW w:w="3276" w:type="pct"/>
            <w:tcBorders>
              <w:top w:val="single" w:sz="4" w:space="0" w:color="auto"/>
            </w:tcBorders>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Діяльність у сфері використання ядерної енергії</w:t>
            </w:r>
          </w:p>
        </w:tc>
        <w:tc>
          <w:tcPr>
            <w:tcW w:w="1724" w:type="pct"/>
            <w:tcBorders>
              <w:top w:val="single" w:sz="4" w:space="0" w:color="auto"/>
            </w:tcBorders>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Діяльність банків пуповинної крові, інших тканин і клітин людини згідно з переліком, затвердженим МОЗ</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Поводження з небезпечними відходами</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Геологічне вивчення нафтогазоносних надр, у тому числі дослідно-промислова розробка родовищ; дослідно-промислова розробка родовищ з подальшим видобуванням нафти і газу (промислова розробка родовищ), видобування нафти і газу (промислова розробка родовищ),  будівництво та експлуатація підземних споруд, не пов'язаних з видобуванням корисних копалин, у тому числі підземних сховищ нафти чи газу та споруд для захоронення відходів виробництва нафтогазової галузі і супутніх вод</w:t>
            </w:r>
          </w:p>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Геологічне вивчення, в тому числі дослідно-промислова розробка родовищ корисних копалин загальнодержавного значення, видобування корисних копалин, будівництво та експлуатація підземних споруд, не пов'язаних з видобуванням корисних копалин, у тому числі споруд для підземного зберігання нафти, газу та інших речовин і матеріалів, захоронення шкідливих речовин і відходів виробництва, скидання стічних вод, створення геологічних територій та об'єктів, що мають важливе наукове, культурне, санітарно-оздоровче значення (наукові полігони, геологічні заповідники, заказники, природи, лікувальні, оздоровчі заклади та інше),  виконання робіт (провадження діяльності), передбачених угодою про розподіл продукції</w:t>
            </w:r>
          </w:p>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xml:space="preserve"> Геологічне вивчення </w:t>
            </w:r>
            <w:proofErr w:type="spellStart"/>
            <w:r w:rsidRPr="00EF7CCA">
              <w:rPr>
                <w:rFonts w:ascii="Times New Roman" w:hAnsi="Times New Roman"/>
                <w:szCs w:val="26"/>
              </w:rPr>
              <w:t>бурштиноносних</w:t>
            </w:r>
            <w:proofErr w:type="spellEnd"/>
            <w:r w:rsidRPr="00EF7CCA">
              <w:rPr>
                <w:rFonts w:ascii="Times New Roman" w:hAnsi="Times New Roman"/>
                <w:szCs w:val="26"/>
              </w:rPr>
              <w:t xml:space="preserve"> надр, у тому </w:t>
            </w:r>
            <w:r w:rsidRPr="00EF7CCA">
              <w:rPr>
                <w:rFonts w:ascii="Times New Roman" w:hAnsi="Times New Roman"/>
                <w:szCs w:val="26"/>
              </w:rPr>
              <w:lastRenderedPageBreak/>
              <w:t>числі дослідно-промислову розробка родовищ з подальшим видобуванням бурштину (промислова розробка родовищ)</w:t>
            </w:r>
          </w:p>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Геологічне вивчення, у тому числі дослідно-промислова розробка, та видобування корисних копалин, що мають стратегічне значення для сталого розвитку економіки та обороноздатності держави</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lastRenderedPageBreak/>
              <w:t>спеціальний дозвіл на користування надрами</w:t>
            </w:r>
          </w:p>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 </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lastRenderedPageBreak/>
              <w:t>Перевезення радіоактивних матеріалів (</w:t>
            </w:r>
            <w:proofErr w:type="spellStart"/>
            <w:r w:rsidRPr="00EF7CCA">
              <w:rPr>
                <w:rFonts w:ascii="Times New Roman" w:eastAsia="MyriadPro" w:hAnsi="Times New Roman"/>
                <w:szCs w:val="26"/>
                <w:lang w:val="ru-RU" w:eastAsia="zh-CN" w:bidi="ar"/>
              </w:rPr>
              <w:t>міжнародне</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перевезення</w:t>
            </w:r>
            <w:proofErr w:type="spellEnd"/>
            <w:r w:rsidRPr="00EF7CCA">
              <w:rPr>
                <w:rFonts w:ascii="Times New Roman" w:hAnsi="Times New Roman"/>
                <w:szCs w:val="26"/>
              </w:rPr>
              <w:t>)</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hAnsi="Times New Roman"/>
                <w:szCs w:val="26"/>
              </w:rPr>
            </w:pPr>
            <w:proofErr w:type="spellStart"/>
            <w:r w:rsidRPr="00EF7CCA">
              <w:rPr>
                <w:rFonts w:ascii="Times New Roman" w:eastAsia="MyriadPro" w:hAnsi="Times New Roman"/>
                <w:szCs w:val="26"/>
                <w:lang w:val="ru-RU" w:eastAsia="zh-CN" w:bidi="ar"/>
              </w:rPr>
              <w:t>Роботи</w:t>
            </w:r>
            <w:proofErr w:type="spellEnd"/>
            <w:r w:rsidRPr="00EF7CCA">
              <w:rPr>
                <w:rFonts w:ascii="Times New Roman" w:eastAsia="MyriadPro" w:hAnsi="Times New Roman"/>
                <w:szCs w:val="26"/>
                <w:lang w:val="ru-RU" w:eastAsia="zh-CN" w:bidi="ar"/>
              </w:rPr>
              <w:t xml:space="preserve"> з </w:t>
            </w:r>
            <w:proofErr w:type="spellStart"/>
            <w:r w:rsidRPr="00EF7CCA">
              <w:rPr>
                <w:rFonts w:ascii="Times New Roman" w:eastAsia="MyriadPro" w:hAnsi="Times New Roman"/>
                <w:szCs w:val="26"/>
                <w:lang w:val="ru-RU" w:eastAsia="zh-CN" w:bidi="ar"/>
              </w:rPr>
              <w:t>радіоактивними</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речовинами</w:t>
            </w:r>
            <w:proofErr w:type="spellEnd"/>
            <w:r w:rsidRPr="00EF7CCA">
              <w:rPr>
                <w:rFonts w:ascii="Times New Roman" w:eastAsia="MyriadPro" w:hAnsi="Times New Roman"/>
                <w:szCs w:val="26"/>
                <w:lang w:val="ru-RU" w:eastAsia="zh-CN" w:bidi="ar"/>
              </w:rPr>
              <w:t xml:space="preserve"> та </w:t>
            </w:r>
            <w:proofErr w:type="spellStart"/>
            <w:r w:rsidRPr="00EF7CCA">
              <w:rPr>
                <w:rFonts w:ascii="Times New Roman" w:eastAsia="MyriadPro" w:hAnsi="Times New Roman"/>
                <w:szCs w:val="26"/>
                <w:lang w:val="ru-RU" w:eastAsia="zh-CN" w:bidi="ar"/>
              </w:rPr>
              <w:t>іншими</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джерелами</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іонізуючого</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випромінювання</w:t>
            </w:r>
            <w:proofErr w:type="spellEnd"/>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eastAsia="zh-CN" w:bidi="ar"/>
              </w:rPr>
            </w:pPr>
            <w:r w:rsidRPr="00EF7CCA">
              <w:rPr>
                <w:rFonts w:ascii="Times New Roman" w:eastAsia="MyriadPro" w:hAnsi="Times New Roman"/>
                <w:szCs w:val="26"/>
                <w:lang w:eastAsia="zh-CN" w:bidi="ar"/>
              </w:rPr>
              <w:t>Виконання певних видів робіт чи операцій на етапі експлуатації та закриття сховища для захоронення радіоактивних відходів</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eastAsia="MyriadPro" w:hAnsi="Times New Roman"/>
                <w:szCs w:val="26"/>
                <w:lang w:eastAsia="zh-CN" w:bidi="ar"/>
              </w:rPr>
              <w:t xml:space="preserve">Виконання певних видів робіт чи операцій на окремих етапах життєвого циклу ядерної установки (крім окремого дозволу на експлуатацію ядерної установки після виникнення радіаційних аварійних ситуацій або реалізації проектних вихідних подій з радіаційними наслідками, або перевищення проектних експлуатаційних меж пошкодження ядерного палива, окремого дозволу на пуск ядерної установки після планово-попереджувального ремонту з перевантаженням активної зони та окремого дозволу на етапі зняття з експлуатації ядерної установки) </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 xml:space="preserve">дозвіл </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hAnsi="Times New Roman"/>
                <w:szCs w:val="26"/>
                <w:lang w:val="ru-RU"/>
              </w:rPr>
            </w:pPr>
            <w:r w:rsidRPr="00EF7CCA">
              <w:rPr>
                <w:rFonts w:ascii="Times New Roman" w:eastAsia="MyriadPro" w:hAnsi="Times New Roman"/>
                <w:szCs w:val="26"/>
                <w:lang w:val="ru-RU" w:eastAsia="zh-CN" w:bidi="ar"/>
              </w:rPr>
              <w:t xml:space="preserve">Пуск </w:t>
            </w:r>
            <w:proofErr w:type="spellStart"/>
            <w:r w:rsidRPr="00EF7CCA">
              <w:rPr>
                <w:rFonts w:ascii="Times New Roman" w:eastAsia="MyriadPro" w:hAnsi="Times New Roman"/>
                <w:szCs w:val="26"/>
                <w:lang w:val="ru-RU" w:eastAsia="zh-CN" w:bidi="ar"/>
              </w:rPr>
              <w:t>ядерної</w:t>
            </w:r>
            <w:proofErr w:type="spellEnd"/>
            <w:r w:rsidRPr="00EF7CCA">
              <w:rPr>
                <w:rFonts w:ascii="Times New Roman" w:eastAsia="MyriadPro" w:hAnsi="Times New Roman"/>
                <w:szCs w:val="26"/>
                <w:lang w:val="ru-RU" w:eastAsia="zh-CN" w:bidi="ar"/>
              </w:rPr>
              <w:t xml:space="preserve"> установки </w:t>
            </w:r>
            <w:proofErr w:type="spellStart"/>
            <w:proofErr w:type="gramStart"/>
            <w:r w:rsidRPr="00EF7CCA">
              <w:rPr>
                <w:rFonts w:ascii="Times New Roman" w:eastAsia="MyriadPro" w:hAnsi="Times New Roman"/>
                <w:szCs w:val="26"/>
                <w:lang w:val="ru-RU" w:eastAsia="zh-CN" w:bidi="ar"/>
              </w:rPr>
              <w:t>п</w:t>
            </w:r>
            <w:proofErr w:type="gramEnd"/>
            <w:r w:rsidRPr="00EF7CCA">
              <w:rPr>
                <w:rFonts w:ascii="Times New Roman" w:eastAsia="MyriadPro" w:hAnsi="Times New Roman"/>
                <w:szCs w:val="26"/>
                <w:lang w:val="ru-RU" w:eastAsia="zh-CN" w:bidi="ar"/>
              </w:rPr>
              <w:t>ісля</w:t>
            </w:r>
            <w:proofErr w:type="spellEnd"/>
            <w:r w:rsidRPr="00EF7CCA">
              <w:rPr>
                <w:rFonts w:ascii="Times New Roman" w:eastAsia="MyriadPro" w:hAnsi="Times New Roman"/>
                <w:szCs w:val="26"/>
                <w:lang w:val="ru-RU" w:eastAsia="zh-CN" w:bidi="ar"/>
              </w:rPr>
              <w:t xml:space="preserve"> планово-</w:t>
            </w:r>
            <w:proofErr w:type="spellStart"/>
            <w:r w:rsidRPr="00EF7CCA">
              <w:rPr>
                <w:rFonts w:ascii="Times New Roman" w:eastAsia="MyriadPro" w:hAnsi="Times New Roman"/>
                <w:szCs w:val="26"/>
                <w:lang w:val="ru-RU" w:eastAsia="zh-CN" w:bidi="ar"/>
              </w:rPr>
              <w:t>попереджувального</w:t>
            </w:r>
            <w:proofErr w:type="spellEnd"/>
            <w:r w:rsidRPr="00EF7CCA">
              <w:rPr>
                <w:rFonts w:ascii="Times New Roman" w:eastAsia="MyriadPro" w:hAnsi="Times New Roman"/>
                <w:szCs w:val="26"/>
                <w:lang w:val="ru-RU" w:eastAsia="zh-CN" w:bidi="ar"/>
              </w:rPr>
              <w:t xml:space="preserve"> ремонту з </w:t>
            </w:r>
            <w:proofErr w:type="spellStart"/>
            <w:r w:rsidRPr="00EF7CCA">
              <w:rPr>
                <w:rFonts w:ascii="Times New Roman" w:eastAsia="MyriadPro" w:hAnsi="Times New Roman"/>
                <w:szCs w:val="26"/>
                <w:lang w:val="ru-RU" w:eastAsia="zh-CN" w:bidi="ar"/>
              </w:rPr>
              <w:t>перевантаженням</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активної</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зони</w:t>
            </w:r>
            <w:proofErr w:type="spellEnd"/>
            <w:r w:rsidRPr="00EF7CCA">
              <w:rPr>
                <w:rFonts w:ascii="Times New Roman" w:eastAsia="MyriadPro" w:hAnsi="Times New Roman"/>
                <w:szCs w:val="26"/>
                <w:lang w:val="ru-RU" w:eastAsia="zh-CN" w:bidi="ar"/>
              </w:rPr>
              <w:t xml:space="preserve"> </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bidi="ar"/>
              </w:rPr>
            </w:pPr>
            <w:r w:rsidRPr="00EF7CCA">
              <w:rPr>
                <w:rFonts w:ascii="Times New Roman" w:eastAsia="MyriadPro" w:hAnsi="Times New Roman"/>
                <w:szCs w:val="26"/>
                <w:lang w:eastAsia="zh-CN" w:bidi="ar"/>
              </w:rPr>
              <w:t>Експлуатація ядерної установки після виникнення радіаційних аварійних ситуацій або реалізації проектних вихідних подій з радіаційними наслідками, або перевищення проектних експлуатаційних меж пошкодження ядерного палива</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val="ru-RU" w:bidi="ar"/>
              </w:rPr>
            </w:pPr>
            <w:proofErr w:type="spellStart"/>
            <w:r w:rsidRPr="00EF7CCA">
              <w:rPr>
                <w:rFonts w:ascii="Times New Roman" w:eastAsia="MyriadPro" w:hAnsi="Times New Roman"/>
                <w:szCs w:val="26"/>
                <w:lang w:val="ru-RU" w:eastAsia="zh-CN" w:bidi="ar"/>
              </w:rPr>
              <w:t>Використання</w:t>
            </w:r>
            <w:proofErr w:type="spellEnd"/>
            <w:r w:rsidRPr="00EF7CCA">
              <w:rPr>
                <w:rFonts w:ascii="Times New Roman" w:eastAsia="MyriadPro" w:hAnsi="Times New Roman"/>
                <w:szCs w:val="26"/>
                <w:lang w:val="ru-RU" w:eastAsia="zh-CN" w:bidi="ar"/>
              </w:rPr>
              <w:t xml:space="preserve"> земель і </w:t>
            </w:r>
            <w:proofErr w:type="spellStart"/>
            <w:r w:rsidRPr="00EF7CCA">
              <w:rPr>
                <w:rFonts w:ascii="Times New Roman" w:eastAsia="MyriadPro" w:hAnsi="Times New Roman"/>
                <w:szCs w:val="26"/>
                <w:lang w:val="ru-RU" w:eastAsia="zh-CN" w:bidi="ar"/>
              </w:rPr>
              <w:t>водойм</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розташованих</w:t>
            </w:r>
            <w:proofErr w:type="spellEnd"/>
            <w:r w:rsidRPr="00EF7CCA">
              <w:rPr>
                <w:rFonts w:ascii="Times New Roman" w:eastAsia="MyriadPro" w:hAnsi="Times New Roman"/>
                <w:szCs w:val="26"/>
                <w:lang w:val="ru-RU" w:eastAsia="zh-CN" w:bidi="ar"/>
              </w:rPr>
              <w:t xml:space="preserve"> у </w:t>
            </w:r>
            <w:proofErr w:type="spellStart"/>
            <w:r w:rsidRPr="00EF7CCA">
              <w:rPr>
                <w:rFonts w:ascii="Times New Roman" w:eastAsia="MyriadPro" w:hAnsi="Times New Roman"/>
                <w:szCs w:val="26"/>
                <w:lang w:val="ru-RU" w:eastAsia="zh-CN" w:bidi="ar"/>
              </w:rPr>
              <w:t>санітарно-захисній</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зоні</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ядерної</w:t>
            </w:r>
            <w:proofErr w:type="spellEnd"/>
            <w:r w:rsidRPr="00EF7CCA">
              <w:rPr>
                <w:rFonts w:ascii="Times New Roman" w:eastAsia="MyriadPro" w:hAnsi="Times New Roman"/>
                <w:szCs w:val="26"/>
                <w:lang w:val="ru-RU" w:eastAsia="zh-CN" w:bidi="ar"/>
              </w:rPr>
              <w:t xml:space="preserve"> установки, </w:t>
            </w:r>
            <w:proofErr w:type="spellStart"/>
            <w:r w:rsidRPr="00EF7CCA">
              <w:rPr>
                <w:rFonts w:ascii="Times New Roman" w:eastAsia="MyriadPro" w:hAnsi="Times New Roman"/>
                <w:szCs w:val="26"/>
                <w:lang w:val="ru-RU" w:eastAsia="zh-CN" w:bidi="ar"/>
              </w:rPr>
              <w:t>об’єкта</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призначеного</w:t>
            </w:r>
            <w:proofErr w:type="spellEnd"/>
            <w:r w:rsidRPr="00EF7CCA">
              <w:rPr>
                <w:rFonts w:ascii="Times New Roman" w:eastAsia="MyriadPro" w:hAnsi="Times New Roman"/>
                <w:szCs w:val="26"/>
                <w:lang w:val="ru-RU" w:eastAsia="zh-CN" w:bidi="ar"/>
              </w:rPr>
              <w:t xml:space="preserve"> для </w:t>
            </w:r>
            <w:proofErr w:type="spellStart"/>
            <w:r w:rsidRPr="00EF7CCA">
              <w:rPr>
                <w:rFonts w:ascii="Times New Roman" w:eastAsia="MyriadPro" w:hAnsi="Times New Roman"/>
                <w:szCs w:val="26"/>
                <w:lang w:val="ru-RU" w:eastAsia="zh-CN" w:bidi="ar"/>
              </w:rPr>
              <w:t>поводження</w:t>
            </w:r>
            <w:proofErr w:type="spellEnd"/>
            <w:r w:rsidRPr="00EF7CCA">
              <w:rPr>
                <w:rFonts w:ascii="Times New Roman" w:eastAsia="MyriadPro" w:hAnsi="Times New Roman"/>
                <w:szCs w:val="26"/>
                <w:lang w:val="ru-RU" w:eastAsia="zh-CN" w:bidi="ar"/>
              </w:rPr>
              <w:t xml:space="preserve"> з </w:t>
            </w:r>
            <w:proofErr w:type="spellStart"/>
            <w:r w:rsidRPr="00EF7CCA">
              <w:rPr>
                <w:rFonts w:ascii="Times New Roman" w:eastAsia="MyriadPro" w:hAnsi="Times New Roman"/>
                <w:szCs w:val="26"/>
                <w:lang w:val="ru-RU" w:eastAsia="zh-CN" w:bidi="ar"/>
              </w:rPr>
              <w:t>радіоактивними</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відходами</w:t>
            </w:r>
            <w:proofErr w:type="spellEnd"/>
            <w:r w:rsidRPr="00EF7CCA">
              <w:rPr>
                <w:rFonts w:ascii="Times New Roman" w:eastAsia="MyriadPro" w:hAnsi="Times New Roman"/>
                <w:szCs w:val="26"/>
                <w:lang w:val="ru-RU" w:eastAsia="zh-CN" w:bidi="ar"/>
              </w:rPr>
              <w:t xml:space="preserve">, </w:t>
            </w:r>
            <w:proofErr w:type="gramStart"/>
            <w:r w:rsidRPr="00EF7CCA">
              <w:rPr>
                <w:rFonts w:ascii="Times New Roman" w:eastAsia="MyriadPro" w:hAnsi="Times New Roman"/>
                <w:szCs w:val="26"/>
                <w:lang w:val="ru-RU" w:eastAsia="zh-CN" w:bidi="ar"/>
              </w:rPr>
              <w:t>уранового</w:t>
            </w:r>
            <w:proofErr w:type="gram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об’єкта</w:t>
            </w:r>
            <w:proofErr w:type="spellEnd"/>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val="ru-RU" w:eastAsia="zh-CN" w:bidi="ar"/>
              </w:rPr>
            </w:pPr>
            <w:proofErr w:type="spellStart"/>
            <w:r w:rsidRPr="00EF7CCA">
              <w:rPr>
                <w:rFonts w:ascii="Times New Roman" w:eastAsia="MyriadPro" w:hAnsi="Times New Roman"/>
                <w:szCs w:val="26"/>
                <w:lang w:val="ru-RU" w:eastAsia="zh-CN" w:bidi="ar"/>
              </w:rPr>
              <w:lastRenderedPageBreak/>
              <w:t>Виробництво</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джерел</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іонізуючого</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випромінювання</w:t>
            </w:r>
            <w:proofErr w:type="spellEnd"/>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val="ru-RU" w:bidi="ar"/>
              </w:rPr>
            </w:pPr>
            <w:proofErr w:type="spellStart"/>
            <w:r w:rsidRPr="00EF7CCA">
              <w:rPr>
                <w:rFonts w:ascii="Times New Roman" w:eastAsia="MyriadPro" w:hAnsi="Times New Roman"/>
                <w:szCs w:val="26"/>
                <w:lang w:val="ru-RU" w:eastAsia="zh-CN" w:bidi="ar"/>
              </w:rPr>
              <w:t>Переробка</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зберігання</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радіоактивних</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відході</w:t>
            </w:r>
            <w:proofErr w:type="gramStart"/>
            <w:r w:rsidRPr="00EF7CCA">
              <w:rPr>
                <w:rFonts w:ascii="Times New Roman" w:eastAsia="MyriadPro" w:hAnsi="Times New Roman"/>
                <w:szCs w:val="26"/>
                <w:lang w:val="ru-RU" w:eastAsia="zh-CN" w:bidi="ar"/>
              </w:rPr>
              <w:t>в</w:t>
            </w:r>
            <w:proofErr w:type="spellEnd"/>
            <w:proofErr w:type="gramEnd"/>
            <w:r w:rsidRPr="00EF7CCA">
              <w:rPr>
                <w:rFonts w:ascii="Times New Roman" w:eastAsia="MyriadPro" w:hAnsi="Times New Roman"/>
                <w:szCs w:val="26"/>
                <w:lang w:val="ru-RU" w:eastAsia="zh-CN" w:bidi="ar"/>
              </w:rPr>
              <w:t xml:space="preserve"> </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eastAsia="zh-CN" w:bidi="ar"/>
              </w:rPr>
            </w:pPr>
            <w:r w:rsidRPr="00EF7CCA">
              <w:rPr>
                <w:rFonts w:ascii="Times New Roman" w:eastAsia="MyriadPro" w:hAnsi="Times New Roman"/>
                <w:szCs w:val="26"/>
                <w:lang w:eastAsia="zh-CN" w:bidi="ar"/>
              </w:rPr>
              <w:t>Провадження господарської діяльності з підготовки, перепідготовки та підвищення кваліфікації спеціалістів з фізичного захисту ядерних установок, ядерних матеріалів, радіоактивних відходів, інших джерел іонізуючого випромінювання</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val="ru-RU" w:bidi="ar"/>
              </w:rPr>
            </w:pPr>
            <w:proofErr w:type="spellStart"/>
            <w:r w:rsidRPr="00EF7CCA">
              <w:rPr>
                <w:rFonts w:ascii="Times New Roman" w:eastAsia="MyriadPro" w:hAnsi="Times New Roman"/>
                <w:szCs w:val="26"/>
                <w:lang w:val="ru-RU" w:eastAsia="zh-CN" w:bidi="ar"/>
              </w:rPr>
              <w:t>Переробка</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уранових</w:t>
            </w:r>
            <w:proofErr w:type="spellEnd"/>
            <w:r w:rsidRPr="00EF7CCA">
              <w:rPr>
                <w:rFonts w:ascii="Times New Roman" w:eastAsia="MyriadPro" w:hAnsi="Times New Roman"/>
                <w:szCs w:val="26"/>
                <w:lang w:val="ru-RU" w:eastAsia="zh-CN" w:bidi="ar"/>
              </w:rPr>
              <w:t xml:space="preserve"> руд </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val="ru-RU" w:eastAsia="zh-CN" w:bidi="ar"/>
              </w:rPr>
            </w:pPr>
            <w:proofErr w:type="spellStart"/>
            <w:r w:rsidRPr="00EF7CCA">
              <w:rPr>
                <w:rFonts w:ascii="Times New Roman" w:eastAsia="MyriadPro" w:hAnsi="Times New Roman"/>
                <w:szCs w:val="26"/>
                <w:lang w:val="ru-RU" w:eastAsia="zh-CN" w:bidi="ar"/>
              </w:rPr>
              <w:t>Провадження</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господарської</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діяльності</w:t>
            </w:r>
            <w:proofErr w:type="spellEnd"/>
            <w:r w:rsidRPr="00EF7CCA">
              <w:rPr>
                <w:rFonts w:ascii="Times New Roman" w:eastAsia="MyriadPro" w:hAnsi="Times New Roman"/>
                <w:szCs w:val="26"/>
                <w:lang w:val="ru-RU" w:eastAsia="zh-CN" w:bidi="ar"/>
              </w:rPr>
              <w:t xml:space="preserve"> з </w:t>
            </w:r>
            <w:proofErr w:type="spellStart"/>
            <w:proofErr w:type="gramStart"/>
            <w:r w:rsidRPr="00EF7CCA">
              <w:rPr>
                <w:rFonts w:ascii="Times New Roman" w:eastAsia="MyriadPro" w:hAnsi="Times New Roman"/>
                <w:szCs w:val="26"/>
                <w:lang w:val="ru-RU" w:eastAsia="zh-CN" w:bidi="ar"/>
              </w:rPr>
              <w:t>п</w:t>
            </w:r>
            <w:proofErr w:type="gramEnd"/>
            <w:r w:rsidRPr="00EF7CCA">
              <w:rPr>
                <w:rFonts w:ascii="Times New Roman" w:eastAsia="MyriadPro" w:hAnsi="Times New Roman"/>
                <w:szCs w:val="26"/>
                <w:lang w:val="ru-RU" w:eastAsia="zh-CN" w:bidi="ar"/>
              </w:rPr>
              <w:t>ідготовки</w:t>
            </w:r>
            <w:proofErr w:type="spellEnd"/>
            <w:r w:rsidRPr="00EF7CCA">
              <w:rPr>
                <w:rFonts w:ascii="Times New Roman" w:eastAsia="MyriadPro" w:hAnsi="Times New Roman"/>
                <w:szCs w:val="26"/>
                <w:lang w:val="ru-RU" w:eastAsia="zh-CN" w:bidi="ar"/>
              </w:rPr>
              <w:t xml:space="preserve"> персоналу для </w:t>
            </w:r>
            <w:proofErr w:type="spellStart"/>
            <w:r w:rsidRPr="00EF7CCA">
              <w:rPr>
                <w:rFonts w:ascii="Times New Roman" w:eastAsia="MyriadPro" w:hAnsi="Times New Roman"/>
                <w:szCs w:val="26"/>
                <w:lang w:val="ru-RU" w:eastAsia="zh-CN" w:bidi="ar"/>
              </w:rPr>
              <w:t>експлуатації</w:t>
            </w:r>
            <w:proofErr w:type="spellEnd"/>
            <w:r w:rsidRPr="00EF7CCA">
              <w:rPr>
                <w:rFonts w:ascii="Times New Roman" w:eastAsia="MyriadPro" w:hAnsi="Times New Roman"/>
                <w:szCs w:val="26"/>
                <w:lang w:val="ru-RU" w:eastAsia="zh-CN" w:bidi="ar"/>
              </w:rPr>
              <w:t xml:space="preserve"> </w:t>
            </w:r>
            <w:proofErr w:type="spellStart"/>
            <w:r w:rsidRPr="00EF7CCA">
              <w:rPr>
                <w:rFonts w:ascii="Times New Roman" w:eastAsia="MyriadPro" w:hAnsi="Times New Roman"/>
                <w:szCs w:val="26"/>
                <w:lang w:val="ru-RU" w:eastAsia="zh-CN" w:bidi="ar"/>
              </w:rPr>
              <w:t>ядерної</w:t>
            </w:r>
            <w:proofErr w:type="spellEnd"/>
            <w:r w:rsidRPr="00EF7CCA">
              <w:rPr>
                <w:rFonts w:ascii="Times New Roman" w:eastAsia="MyriadPro" w:hAnsi="Times New Roman"/>
                <w:szCs w:val="26"/>
                <w:lang w:val="ru-RU" w:eastAsia="zh-CN" w:bidi="ar"/>
              </w:rPr>
              <w:t xml:space="preserve"> установки</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eastAsia="zh-CN" w:bidi="ar"/>
              </w:rPr>
            </w:pPr>
            <w:r w:rsidRPr="00EF7CCA">
              <w:rPr>
                <w:rFonts w:ascii="Times New Roman" w:eastAsia="MyriadPro" w:hAnsi="Times New Roman"/>
                <w:szCs w:val="26"/>
                <w:lang w:eastAsia="zh-CN" w:bidi="ar"/>
              </w:rPr>
              <w:t>Провадження діяльності, пов’язаної із здійсненням персоналом безпосереднього управління реакторною установкою, та діяльності посадових осіб експлуатуючої організації, до службових обов’язків яких належить здійснення організаційно-розпорядчих функцій, пов’язаних із забезпеченням ядерної та радіаційної безпеки</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eastAsia="zh-CN" w:bidi="ar"/>
              </w:rPr>
            </w:pPr>
            <w:r w:rsidRPr="00EF7CCA">
              <w:rPr>
                <w:rFonts w:ascii="Times New Roman" w:eastAsia="MyriadPro" w:hAnsi="Times New Roman"/>
                <w:szCs w:val="26"/>
                <w:lang w:eastAsia="zh-CN" w:bidi="ar"/>
              </w:rPr>
              <w:t>Діяльність експлуатуючої організації на окремому етапі життєвого циклу ядерної установки або сховища для захоронення радіоактивних відходів: будівництво сховища для захоронення радіоактивних відходів</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eastAsia="MyriadPro" w:hAnsi="Times New Roman"/>
                <w:szCs w:val="26"/>
                <w:lang w:eastAsia="zh-CN" w:bidi="ar"/>
              </w:rPr>
              <w:t>Діяльність експлуатуючої організації на окремому етапі життєвого циклу ядерної установки або сховища для захоронення радіоактивних відходів: будівництво та введення в експлуатацію ядерної установки</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bidi="ar"/>
              </w:rPr>
            </w:pPr>
            <w:r w:rsidRPr="00EF7CCA">
              <w:rPr>
                <w:rFonts w:ascii="Times New Roman" w:eastAsia="MyriadPro" w:hAnsi="Times New Roman"/>
                <w:szCs w:val="26"/>
                <w:lang w:eastAsia="zh-CN" w:bidi="ar"/>
              </w:rPr>
              <w:t xml:space="preserve">Діяльність експлуатуючої організації на окремому етапі життєвого циклу ядерної установки або сховища для захоронення радіоактивних відходів: експлуатація ядерної установки або сховища для захоронення радіоактивних відходів  </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eastAsia="zh-CN" w:bidi="ar"/>
              </w:rPr>
            </w:pPr>
            <w:r w:rsidRPr="00EF7CCA">
              <w:rPr>
                <w:rFonts w:ascii="Times New Roman" w:eastAsia="MyriadPro" w:hAnsi="Times New Roman"/>
                <w:szCs w:val="26"/>
                <w:lang w:eastAsia="zh-CN" w:bidi="ar"/>
              </w:rPr>
              <w:t>Діяльність експлуатуючої організації на окремому етапі життєвого циклу ядерної установки або сховища для захоронення радіоактивних відходів: закриття сховища для захоронення радіоактивних відходів</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eastAsia="MyriadPro" w:hAnsi="Times New Roman"/>
                <w:szCs w:val="26"/>
                <w:lang w:eastAsia="zh-CN" w:bidi="ar"/>
              </w:rPr>
            </w:pPr>
            <w:r w:rsidRPr="00EF7CCA">
              <w:rPr>
                <w:rFonts w:ascii="Times New Roman" w:eastAsia="MyriadPro" w:hAnsi="Times New Roman"/>
                <w:szCs w:val="26"/>
                <w:lang w:eastAsia="zh-CN" w:bidi="ar"/>
              </w:rPr>
              <w:lastRenderedPageBreak/>
              <w:t>Діяльність експлуатуючої організації на окремому етапі життєвого циклу ядерної установки або сховища для захоронення радіоактивних відходів: зняття з експлуатації ядерної установки</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Спеціальне водокористування</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Оцінка впливу на довкілля</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висновок</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Транскордонне перевезення небезпечних відходів</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письмова згода (повідомлення)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Спеціальне використання природних ресурсів у межах територій та об'єктів природно-заповідного фонду</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Спеціальне використання лісових ресурсів </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спеціальний дозвіл на спеціальне використання лісових ресурсів (лісорубний квиток, ордер, лісовий квиток)</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xml:space="preserve">Виробництво та ремонт вогнепальної зброї невійськового призначення і боєприпасів до неї, холодної зброї, пневматичної зброї калібру понад </w:t>
            </w:r>
            <w:r>
              <w:rPr>
                <w:rFonts w:ascii="Times New Roman" w:hAnsi="Times New Roman"/>
                <w:szCs w:val="26"/>
              </w:rPr>
              <w:br/>
            </w:r>
            <w:r w:rsidRPr="00EF7CCA">
              <w:rPr>
                <w:rFonts w:ascii="Times New Roman" w:hAnsi="Times New Roman"/>
                <w:szCs w:val="26"/>
              </w:rPr>
              <w:t xml:space="preserve">4,5 міліметра і швидкістю польоту кулі понад </w:t>
            </w:r>
            <w:r w:rsidRPr="00EF7CCA">
              <w:rPr>
                <w:rFonts w:ascii="Times New Roman" w:hAnsi="Times New Roman"/>
                <w:szCs w:val="26"/>
              </w:rPr>
              <w:br/>
              <w:t>100 метрів на секунду,</w:t>
            </w:r>
          </w:p>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xml:space="preserve">Торгівля вогнепальною зброєю невійськового призначення та боєприпасами до неї, холодною зброєю, пневматичною зброєю калібру понад   </w:t>
            </w:r>
            <w:r>
              <w:rPr>
                <w:rFonts w:ascii="Times New Roman" w:hAnsi="Times New Roman"/>
                <w:szCs w:val="26"/>
              </w:rPr>
              <w:br/>
            </w:r>
            <w:r w:rsidRPr="00EF7CCA">
              <w:rPr>
                <w:rFonts w:ascii="Times New Roman" w:hAnsi="Times New Roman"/>
                <w:szCs w:val="26"/>
              </w:rPr>
              <w:t xml:space="preserve">4,5 міліметра і швидкістю польоту кулі понад </w:t>
            </w:r>
            <w:r w:rsidRPr="00EF7CCA">
              <w:rPr>
                <w:rFonts w:ascii="Times New Roman" w:hAnsi="Times New Roman"/>
                <w:szCs w:val="26"/>
              </w:rPr>
              <w:br/>
              <w:t>100 метрів на секунду</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Виробництво вибухових матеріалів промислового призначення за переліком, що визначається Кабінетом Міністрів України</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hAnsi="Times New Roman"/>
                <w:szCs w:val="26"/>
              </w:rPr>
            </w:pP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Виробництво особливо небезпечних хімічних речовин, перелік яких визначається Кабінетом Міністрів України</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xml:space="preserve">Перевезення пасажирів, небезпечних вантажів та небезпечних відходів автомобільним, залізничним </w:t>
            </w:r>
            <w:r w:rsidRPr="00EF7CCA">
              <w:rPr>
                <w:rFonts w:ascii="Times New Roman" w:hAnsi="Times New Roman"/>
                <w:szCs w:val="26"/>
              </w:rPr>
              <w:lastRenderedPageBreak/>
              <w:t>транспортом, міжнародні перевезення пасажирів та вантажів автомобільним транспортом</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lastRenderedPageBreak/>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lastRenderedPageBreak/>
              <w:t>Виробництво спеціальних засобів, заряджених речовинами сльозоточивої та дратівної дії, індивідуального захисту, активної оборони та їх продаж</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shd w:val="clear" w:color="auto" w:fill="FFFFFF"/>
              </w:rPr>
              <w:t>Виконання підготовчих робіт, визначених будівельними нормами</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szCs w:val="26"/>
              </w:rPr>
              <w:t>повідомлення про початок виконання підготовчих робіт</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shd w:val="clear" w:color="auto" w:fill="FFFFFF"/>
              </w:rPr>
              <w:t>Виконання будівельних робіт на об’єктах будівництва, що за класом наслідків (відповідальності) належать до об’єктів з  незначними наслідками (СС1)</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szCs w:val="26"/>
              </w:rPr>
              <w:t>повідомлення про початок виконання будівельних робіт</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shd w:val="clear" w:color="auto" w:fill="FFFFFF"/>
              </w:rPr>
              <w:t>Прийняття в експлуатацію закінчених будівництвом об’єктів, що за класом наслідків (відповідальності) належать до об’єктів з  незначними наслідками (СС1)</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Pr>
                <w:rFonts w:ascii="Times New Roman" w:hAnsi="Times New Roman"/>
                <w:szCs w:val="26"/>
              </w:rPr>
              <w:t xml:space="preserve">декларація про готовність </w:t>
            </w:r>
            <w:proofErr w:type="spellStart"/>
            <w:r>
              <w:rPr>
                <w:rFonts w:ascii="Times New Roman" w:hAnsi="Times New Roman"/>
                <w:szCs w:val="26"/>
              </w:rPr>
              <w:t>обʼ</w:t>
            </w:r>
            <w:r w:rsidRPr="00EF7CCA">
              <w:rPr>
                <w:rFonts w:ascii="Times New Roman" w:hAnsi="Times New Roman"/>
                <w:szCs w:val="26"/>
              </w:rPr>
              <w:t>єкта</w:t>
            </w:r>
            <w:proofErr w:type="spellEnd"/>
            <w:r w:rsidRPr="00EF7CCA">
              <w:rPr>
                <w:rFonts w:ascii="Times New Roman" w:hAnsi="Times New Roman"/>
                <w:szCs w:val="26"/>
              </w:rPr>
              <w:t xml:space="preserve"> до експлуатації</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shd w:val="clear" w:color="auto" w:fill="FFFFFF"/>
              </w:rPr>
              <w:t xml:space="preserve"> Виконання підготовчих робіт (якщо вони не були виконані раніше згідно з повідомленням про початок виконання підготовчих робіт) і будівельних робіт на об’єктах будівництва, що за класом наслідків (відповідальності) належать до об’єктів з середніми (СС2) та значними (СС3) наслідками</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szCs w:val="26"/>
              </w:rPr>
              <w:t>дозвіл на виконання будівельних робіт</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shd w:val="clear" w:color="auto" w:fill="FFFFFF"/>
              </w:rPr>
              <w:t>Прийняття в експлуатацію закінчених будівництвом об’єктів, що за класом наслідків (відповідальності) належать до об’єктів з середніми (СС2) та значними (СС3) наслідками</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szCs w:val="26"/>
              </w:rPr>
              <w:t>сертифікат про прийняття в експлуатацію закінченого будівництвом об’єкта</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hAnsi="Times New Roman"/>
                <w:szCs w:val="26"/>
                <w:shd w:val="clear" w:color="auto" w:fill="FFFFFF"/>
              </w:rPr>
            </w:pPr>
            <w:r w:rsidRPr="00EF7CCA">
              <w:rPr>
                <w:rFonts w:ascii="Times New Roman" w:hAnsi="Times New Roman"/>
                <w:szCs w:val="26"/>
                <w:shd w:val="clear" w:color="auto" w:fill="FFFFFF"/>
              </w:rPr>
              <w:t>Виробництво лікарських засобів (для суб’єктів господарювання, які не мають діючої ліцензії на виробництво лікарських засобів)</w:t>
            </w: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tcPr>
          <w:p w:rsidR="000B6813" w:rsidRPr="00EF7CCA" w:rsidRDefault="000B6813" w:rsidP="00664A57">
            <w:pPr>
              <w:pStyle w:val="a5"/>
              <w:spacing w:before="80" w:line="228" w:lineRule="auto"/>
              <w:ind w:firstLine="0"/>
              <w:jc w:val="left"/>
              <w:rPr>
                <w:rFonts w:ascii="Times New Roman" w:hAnsi="Times New Roman"/>
                <w:szCs w:val="26"/>
                <w:shd w:val="clear" w:color="auto" w:fill="FFFFFF"/>
              </w:rPr>
            </w:pPr>
          </w:p>
        </w:tc>
        <w:tc>
          <w:tcPr>
            <w:tcW w:w="1724" w:type="pct"/>
            <w:tcMar>
              <w:top w:w="100" w:type="dxa"/>
              <w:left w:w="100" w:type="dxa"/>
              <w:bottom w:w="100" w:type="dxa"/>
              <w:right w:w="100" w:type="dxa"/>
            </w:tcMar>
          </w:tcPr>
          <w:p w:rsidR="000B6813" w:rsidRPr="00EF7CCA" w:rsidRDefault="000B6813" w:rsidP="00664A57">
            <w:pPr>
              <w:pStyle w:val="a5"/>
              <w:spacing w:before="80" w:line="228" w:lineRule="auto"/>
              <w:ind w:firstLine="0"/>
              <w:rPr>
                <w:rFonts w:ascii="Times New Roman" w:hAnsi="Times New Roman"/>
                <w:szCs w:val="26"/>
              </w:rPr>
            </w:pP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xml:space="preserve">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w:t>
            </w:r>
            <w:r w:rsidRPr="00EF7CCA">
              <w:rPr>
                <w:rFonts w:ascii="Times New Roman" w:hAnsi="Times New Roman"/>
                <w:szCs w:val="26"/>
              </w:rPr>
              <w:lastRenderedPageBreak/>
              <w:t>наркотичних засобів, психотропних речовин і прекурсорів, включених до зазначеного переліку</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lastRenderedPageBreak/>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lastRenderedPageBreak/>
              <w:t>Банківська діяльність, діяльність з надання фінансових послуг та діяльність з надання банкам послуг з інкасації</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Діяльність у галузі телебачення і радіомовлення</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Надання послуг у галузі криптографічного захисту інформації (крім послуг електронного цифрового підпису) та технічного захисту інформації</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Випуск та проведення лотерей</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Діяльність на ринку азартних ігор</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Діяльність, пов’язана з розробленням, виготовленням, постачанням технічних засобів розвідки (критерії належності до технічних засобів розвідки визначаються розвідувальними органами України)</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Зовнішньоекономічна діяльність</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Повірка засобів вимірювальної техніки, що перебувають в експлуатації та застосовуються у сфері законодавчо регульованої метрології</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szCs w:val="26"/>
              </w:rPr>
              <w:t>свідоцтво про уповноваження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Виконання як третьою стороною певних завдань з оцінки відповідності, визначених у відповідному технічному регламенті</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szCs w:val="26"/>
              </w:rPr>
              <w:t>свідоцтво про призначення органу з оцінки відповідності</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Затвердження технологічних процесів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обладнання, що працює під тиском</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szCs w:val="26"/>
              </w:rPr>
              <w:t>свідоцтво про призначення визнаної незалежної організації</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Діяльність із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szCs w:val="26"/>
              </w:rPr>
              <w:t>дозвіл</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 xml:space="preserve">Діяльність у сфері охорони культурної спадщини, вивезення (тимчасового вивезення) культурних </w:t>
            </w:r>
            <w:r w:rsidRPr="00EF7CCA">
              <w:rPr>
                <w:rFonts w:ascii="Times New Roman" w:hAnsi="Times New Roman"/>
                <w:szCs w:val="26"/>
              </w:rPr>
              <w:lastRenderedPageBreak/>
              <w:t xml:space="preserve">цінностей, зокрема ведення робіт, пов'язаних з діяльністю щодо охорони і вивчення </w:t>
            </w:r>
            <w:proofErr w:type="spellStart"/>
            <w:r w:rsidRPr="00EF7CCA">
              <w:rPr>
                <w:rFonts w:ascii="Times New Roman" w:hAnsi="Times New Roman"/>
                <w:szCs w:val="26"/>
              </w:rPr>
              <w:t>археологічноі</w:t>
            </w:r>
            <w:proofErr w:type="spellEnd"/>
            <w:r w:rsidRPr="00EF7CCA">
              <w:rPr>
                <w:rFonts w:ascii="Times New Roman" w:hAnsi="Times New Roman"/>
                <w:szCs w:val="26"/>
              </w:rPr>
              <w:t xml:space="preserve">̈ спадщини; проведення робіт на </w:t>
            </w:r>
            <w:proofErr w:type="spellStart"/>
            <w:r w:rsidRPr="00EF7CCA">
              <w:rPr>
                <w:rFonts w:ascii="Times New Roman" w:hAnsi="Times New Roman"/>
                <w:szCs w:val="26"/>
              </w:rPr>
              <w:t>памʼятках</w:t>
            </w:r>
            <w:proofErr w:type="spellEnd"/>
            <w:r w:rsidRPr="00EF7CCA">
              <w:rPr>
                <w:rFonts w:ascii="Times New Roman" w:hAnsi="Times New Roman"/>
                <w:szCs w:val="26"/>
              </w:rPr>
              <w:t xml:space="preserve"> місцевого значення (крім пам'яток </w:t>
            </w:r>
            <w:proofErr w:type="spellStart"/>
            <w:r w:rsidRPr="00EF7CCA">
              <w:rPr>
                <w:rFonts w:ascii="Times New Roman" w:hAnsi="Times New Roman"/>
                <w:szCs w:val="26"/>
              </w:rPr>
              <w:t>археологіі</w:t>
            </w:r>
            <w:proofErr w:type="spellEnd"/>
            <w:r w:rsidRPr="00EF7CCA">
              <w:rPr>
                <w:rFonts w:ascii="Times New Roman" w:hAnsi="Times New Roman"/>
                <w:szCs w:val="26"/>
              </w:rPr>
              <w:t xml:space="preserve">̈), </w:t>
            </w:r>
            <w:proofErr w:type="spellStart"/>
            <w:r w:rsidRPr="00EF7CCA">
              <w:rPr>
                <w:rFonts w:ascii="Times New Roman" w:hAnsi="Times New Roman"/>
                <w:szCs w:val="26"/>
              </w:rPr>
              <w:t>їх</w:t>
            </w:r>
            <w:proofErr w:type="spellEnd"/>
            <w:r w:rsidRPr="00EF7CCA">
              <w:rPr>
                <w:rFonts w:ascii="Times New Roman" w:hAnsi="Times New Roman"/>
                <w:szCs w:val="26"/>
              </w:rPr>
              <w:t xml:space="preserve"> територіях та в зонах охорони, реєстрація дозволів на проведення археологічних розвідок, розкопок; проведення робіт на </w:t>
            </w:r>
            <w:proofErr w:type="spellStart"/>
            <w:r w:rsidRPr="00EF7CCA">
              <w:rPr>
                <w:rFonts w:ascii="Times New Roman" w:hAnsi="Times New Roman"/>
                <w:szCs w:val="26"/>
              </w:rPr>
              <w:t>памʼятках</w:t>
            </w:r>
            <w:proofErr w:type="spellEnd"/>
            <w:r w:rsidRPr="00EF7CCA">
              <w:rPr>
                <w:rFonts w:ascii="Times New Roman" w:hAnsi="Times New Roman"/>
                <w:szCs w:val="26"/>
              </w:rPr>
              <w:t xml:space="preserve"> національного значення, </w:t>
            </w:r>
            <w:proofErr w:type="spellStart"/>
            <w:r w:rsidRPr="00EF7CCA">
              <w:rPr>
                <w:rFonts w:ascii="Times New Roman" w:hAnsi="Times New Roman"/>
                <w:szCs w:val="26"/>
              </w:rPr>
              <w:t>їх</w:t>
            </w:r>
            <w:proofErr w:type="spellEnd"/>
            <w:r w:rsidRPr="00EF7CCA">
              <w:rPr>
                <w:rFonts w:ascii="Times New Roman" w:hAnsi="Times New Roman"/>
                <w:szCs w:val="26"/>
              </w:rPr>
              <w:t xml:space="preserve"> територіях та в зонах охорони, на охоронюваних археологічних територіях, в історичних ареалах населених пункт</w:t>
            </w:r>
            <w:r>
              <w:rPr>
                <w:rFonts w:ascii="Times New Roman" w:hAnsi="Times New Roman"/>
                <w:szCs w:val="26"/>
              </w:rPr>
              <w:t xml:space="preserve">ів; відчуження або передача </w:t>
            </w:r>
            <w:proofErr w:type="spellStart"/>
            <w:r>
              <w:rPr>
                <w:rFonts w:ascii="Times New Roman" w:hAnsi="Times New Roman"/>
                <w:szCs w:val="26"/>
              </w:rPr>
              <w:t>памʼ</w:t>
            </w:r>
            <w:r w:rsidRPr="00EF7CCA">
              <w:rPr>
                <w:rFonts w:ascii="Times New Roman" w:hAnsi="Times New Roman"/>
                <w:szCs w:val="26"/>
              </w:rPr>
              <w:t>яток</w:t>
            </w:r>
            <w:proofErr w:type="spellEnd"/>
            <w:r w:rsidRPr="00EF7CCA">
              <w:rPr>
                <w:rFonts w:ascii="Times New Roman" w:hAnsi="Times New Roman"/>
                <w:szCs w:val="26"/>
              </w:rPr>
              <w:t xml:space="preserve"> місцевого та національного значення </w:t>
            </w:r>
            <w:proofErr w:type="spellStart"/>
            <w:r w:rsidRPr="00EF7CCA">
              <w:rPr>
                <w:rFonts w:ascii="Times New Roman" w:hAnsi="Times New Roman"/>
                <w:szCs w:val="26"/>
              </w:rPr>
              <w:t>їх</w:t>
            </w:r>
            <w:proofErr w:type="spellEnd"/>
            <w:r w:rsidRPr="00EF7CCA">
              <w:rPr>
                <w:rFonts w:ascii="Times New Roman" w:hAnsi="Times New Roman"/>
                <w:szCs w:val="26"/>
              </w:rPr>
              <w:t xml:space="preserve"> власниками чи уповноваженими ними органами іншим особам у володіння, користування або управління; реалізація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w:t>
            </w:r>
            <w:proofErr w:type="spellStart"/>
            <w:r w:rsidRPr="00EF7CCA">
              <w:rPr>
                <w:rFonts w:ascii="Times New Roman" w:hAnsi="Times New Roman"/>
                <w:szCs w:val="26"/>
              </w:rPr>
              <w:t>памʼяток</w:t>
            </w:r>
            <w:proofErr w:type="spellEnd"/>
            <w:r w:rsidRPr="00EF7CCA">
              <w:rPr>
                <w:rFonts w:ascii="Times New Roman" w:hAnsi="Times New Roman"/>
                <w:szCs w:val="26"/>
              </w:rPr>
              <w:t xml:space="preserve"> місцевого значення, </w:t>
            </w:r>
            <w:proofErr w:type="spellStart"/>
            <w:r w:rsidRPr="00EF7CCA">
              <w:rPr>
                <w:rFonts w:ascii="Times New Roman" w:hAnsi="Times New Roman"/>
                <w:szCs w:val="26"/>
              </w:rPr>
              <w:t>їх</w:t>
            </w:r>
            <w:proofErr w:type="spellEnd"/>
            <w:r w:rsidRPr="00EF7CCA">
              <w:rPr>
                <w:rFonts w:ascii="Times New Roman" w:hAnsi="Times New Roman"/>
                <w:szCs w:val="26"/>
              </w:rPr>
              <w:t xml:space="preserve"> </w:t>
            </w:r>
            <w:proofErr w:type="spellStart"/>
            <w:r w:rsidRPr="00EF7CCA">
              <w:rPr>
                <w:rFonts w:ascii="Times New Roman" w:hAnsi="Times New Roman"/>
                <w:szCs w:val="26"/>
              </w:rPr>
              <w:t>територіи</w:t>
            </w:r>
            <w:proofErr w:type="spellEnd"/>
            <w:r w:rsidRPr="00EF7CCA">
              <w:rPr>
                <w:rFonts w:ascii="Times New Roman" w:hAnsi="Times New Roman"/>
                <w:szCs w:val="26"/>
              </w:rPr>
              <w:t xml:space="preserve">̆ і зон охорони; вивезення (тимчасове вивезення) культурних </w:t>
            </w:r>
            <w:proofErr w:type="spellStart"/>
            <w:r w:rsidRPr="00EF7CCA">
              <w:rPr>
                <w:rFonts w:ascii="Times New Roman" w:hAnsi="Times New Roman"/>
                <w:szCs w:val="26"/>
              </w:rPr>
              <w:t>цінностеи</w:t>
            </w:r>
            <w:proofErr w:type="spellEnd"/>
            <w:r w:rsidRPr="00EF7CCA">
              <w:rPr>
                <w:rFonts w:ascii="Times New Roman" w:hAnsi="Times New Roman"/>
                <w:szCs w:val="26"/>
              </w:rPr>
              <w:t xml:space="preserve">̆; проведення робіт, пов’язаних з археологічними дослідженнями; проведення земляних робіт на </w:t>
            </w:r>
            <w:proofErr w:type="spellStart"/>
            <w:r w:rsidRPr="00EF7CCA">
              <w:rPr>
                <w:rFonts w:ascii="Times New Roman" w:hAnsi="Times New Roman"/>
                <w:szCs w:val="26"/>
              </w:rPr>
              <w:t>територіі</w:t>
            </w:r>
            <w:proofErr w:type="spellEnd"/>
            <w:r w:rsidRPr="00EF7CCA">
              <w:rPr>
                <w:rFonts w:ascii="Times New Roman" w:hAnsi="Times New Roman"/>
                <w:szCs w:val="26"/>
              </w:rPr>
              <w:t>̈ пам’яток, охоронюваних археологічних територіях, у зонах охорони, в історичних ареалах населених місць; проведення пошукових робіт з дослідження решток життєдіяльності людини, що міститься під земною поверхнею, під водою; переміщення (перенесення) пам'яток місцевого та національного значення; погодження науково-</w:t>
            </w:r>
            <w:proofErr w:type="spellStart"/>
            <w:r w:rsidRPr="00EF7CCA">
              <w:rPr>
                <w:rFonts w:ascii="Times New Roman" w:hAnsi="Times New Roman"/>
                <w:szCs w:val="26"/>
              </w:rPr>
              <w:t>проектноі</w:t>
            </w:r>
            <w:proofErr w:type="spellEnd"/>
            <w:r w:rsidRPr="00EF7CCA">
              <w:rPr>
                <w:rFonts w:ascii="Times New Roman" w:hAnsi="Times New Roman"/>
                <w:szCs w:val="26"/>
              </w:rPr>
              <w:t xml:space="preserve">̈ </w:t>
            </w:r>
            <w:proofErr w:type="spellStart"/>
            <w:r w:rsidRPr="00EF7CCA">
              <w:rPr>
                <w:rFonts w:ascii="Times New Roman" w:hAnsi="Times New Roman"/>
                <w:szCs w:val="26"/>
              </w:rPr>
              <w:t>документаціі</w:t>
            </w:r>
            <w:proofErr w:type="spellEnd"/>
            <w:r w:rsidRPr="00EF7CCA">
              <w:rPr>
                <w:rFonts w:ascii="Times New Roman" w:hAnsi="Times New Roman"/>
                <w:szCs w:val="26"/>
              </w:rPr>
              <w:t xml:space="preserve">̈ на виконання робіт з </w:t>
            </w:r>
            <w:proofErr w:type="spellStart"/>
            <w:r w:rsidRPr="00EF7CCA">
              <w:rPr>
                <w:rFonts w:ascii="Times New Roman" w:hAnsi="Times New Roman"/>
                <w:szCs w:val="26"/>
              </w:rPr>
              <w:t>консерваціі</w:t>
            </w:r>
            <w:proofErr w:type="spellEnd"/>
            <w:r w:rsidRPr="00EF7CCA">
              <w:rPr>
                <w:rFonts w:ascii="Times New Roman" w:hAnsi="Times New Roman"/>
                <w:szCs w:val="26"/>
              </w:rPr>
              <w:t xml:space="preserve">̈, </w:t>
            </w:r>
            <w:proofErr w:type="spellStart"/>
            <w:r w:rsidRPr="00EF7CCA">
              <w:rPr>
                <w:rFonts w:ascii="Times New Roman" w:hAnsi="Times New Roman"/>
                <w:szCs w:val="26"/>
              </w:rPr>
              <w:t>реставраціі</w:t>
            </w:r>
            <w:proofErr w:type="spellEnd"/>
            <w:r w:rsidRPr="00EF7CCA">
              <w:rPr>
                <w:rFonts w:ascii="Times New Roman" w:hAnsi="Times New Roman"/>
                <w:szCs w:val="26"/>
              </w:rPr>
              <w:t xml:space="preserve">̈, </w:t>
            </w:r>
            <w:proofErr w:type="spellStart"/>
            <w:r w:rsidRPr="00EF7CCA">
              <w:rPr>
                <w:rFonts w:ascii="Times New Roman" w:hAnsi="Times New Roman"/>
                <w:szCs w:val="26"/>
              </w:rPr>
              <w:t>реабілітаціі</w:t>
            </w:r>
            <w:proofErr w:type="spellEnd"/>
            <w:r w:rsidRPr="00EF7CCA">
              <w:rPr>
                <w:rFonts w:ascii="Times New Roman" w:hAnsi="Times New Roman"/>
                <w:szCs w:val="26"/>
              </w:rPr>
              <w:t xml:space="preserve">̈, </w:t>
            </w:r>
            <w:proofErr w:type="spellStart"/>
            <w:r w:rsidRPr="00EF7CCA">
              <w:rPr>
                <w:rFonts w:ascii="Times New Roman" w:hAnsi="Times New Roman"/>
                <w:szCs w:val="26"/>
              </w:rPr>
              <w:t>музеєфікаціі</w:t>
            </w:r>
            <w:proofErr w:type="spellEnd"/>
            <w:r w:rsidRPr="00EF7CCA">
              <w:rPr>
                <w:rFonts w:ascii="Times New Roman" w:hAnsi="Times New Roman"/>
                <w:szCs w:val="26"/>
              </w:rPr>
              <w:t xml:space="preserve">̈, ремонту та пристосування пам’яток місцевого та національного значення; погодження проектів землеустрою щодо відведення земельних ділянок, розташованих на </w:t>
            </w:r>
            <w:proofErr w:type="spellStart"/>
            <w:r w:rsidRPr="00EF7CCA">
              <w:rPr>
                <w:rFonts w:ascii="Times New Roman" w:hAnsi="Times New Roman"/>
                <w:szCs w:val="26"/>
              </w:rPr>
              <w:t>територіі</w:t>
            </w:r>
            <w:proofErr w:type="spellEnd"/>
            <w:r w:rsidRPr="00EF7CCA">
              <w:rPr>
                <w:rFonts w:ascii="Times New Roman" w:hAnsi="Times New Roman"/>
                <w:szCs w:val="26"/>
              </w:rPr>
              <w:t xml:space="preserve">̈ пам’яток національного значення, </w:t>
            </w:r>
            <w:proofErr w:type="spellStart"/>
            <w:r w:rsidRPr="00EF7CCA">
              <w:rPr>
                <w:rFonts w:ascii="Times New Roman" w:hAnsi="Times New Roman"/>
                <w:szCs w:val="26"/>
              </w:rPr>
              <w:t>їх</w:t>
            </w:r>
            <w:proofErr w:type="spellEnd"/>
            <w:r w:rsidRPr="00EF7CCA">
              <w:rPr>
                <w:rFonts w:ascii="Times New Roman" w:hAnsi="Times New Roman"/>
                <w:szCs w:val="26"/>
              </w:rPr>
              <w:t xml:space="preserve"> охоронних зон та охоронюваних археологічних територіях</w:t>
            </w:r>
          </w:p>
        </w:tc>
        <w:tc>
          <w:tcPr>
            <w:tcW w:w="1724" w:type="pct"/>
            <w:tcMar>
              <w:top w:w="100" w:type="dxa"/>
              <w:left w:w="100" w:type="dxa"/>
              <w:bottom w:w="100" w:type="dxa"/>
              <w:right w:w="100" w:type="dxa"/>
            </w:tcMar>
            <w:hideMark/>
          </w:tcPr>
          <w:p w:rsidR="000B6813" w:rsidRPr="00EF7CCA" w:rsidRDefault="000B6813" w:rsidP="00EF7CCA">
            <w:pPr>
              <w:pStyle w:val="a5"/>
              <w:spacing w:before="80" w:line="228" w:lineRule="auto"/>
              <w:ind w:firstLine="0"/>
              <w:jc w:val="left"/>
              <w:rPr>
                <w:rFonts w:ascii="Times New Roman" w:hAnsi="Times New Roman"/>
                <w:szCs w:val="26"/>
              </w:rPr>
            </w:pPr>
            <w:r w:rsidRPr="00EF7CCA">
              <w:rPr>
                <w:rFonts w:ascii="Times New Roman" w:hAnsi="Times New Roman"/>
                <w:color w:val="333333"/>
                <w:szCs w:val="26"/>
                <w:shd w:val="clear" w:color="auto" w:fill="FFFFFF"/>
              </w:rPr>
              <w:lastRenderedPageBreak/>
              <w:t>дозвіл, погодження, висновки</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lastRenderedPageBreak/>
              <w:t>Користування радіочастотним ресурсом</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color w:val="333333"/>
                <w:szCs w:val="26"/>
                <w:shd w:val="clear" w:color="auto" w:fill="FFFFFF"/>
              </w:rPr>
              <w:t>ліцензія</w:t>
            </w:r>
          </w:p>
        </w:tc>
      </w:tr>
      <w:tr w:rsidR="000B6813" w:rsidRPr="00EF7CCA" w:rsidTr="00664A57">
        <w:trPr>
          <w:trHeight w:val="20"/>
        </w:trPr>
        <w:tc>
          <w:tcPr>
            <w:tcW w:w="3276" w:type="pct"/>
            <w:tcMar>
              <w:top w:w="100" w:type="dxa"/>
              <w:left w:w="100" w:type="dxa"/>
              <w:bottom w:w="100" w:type="dxa"/>
              <w:right w:w="100" w:type="dxa"/>
            </w:tcMar>
            <w:hideMark/>
          </w:tcPr>
          <w:p w:rsidR="000B6813" w:rsidRPr="00EF7CCA" w:rsidRDefault="000B6813" w:rsidP="00664A57">
            <w:pPr>
              <w:pStyle w:val="a5"/>
              <w:spacing w:before="80" w:line="228" w:lineRule="auto"/>
              <w:ind w:firstLine="0"/>
              <w:jc w:val="left"/>
              <w:rPr>
                <w:rFonts w:ascii="Times New Roman" w:hAnsi="Times New Roman"/>
                <w:szCs w:val="26"/>
              </w:rPr>
            </w:pPr>
            <w:r w:rsidRPr="00EF7CCA">
              <w:rPr>
                <w:rFonts w:ascii="Times New Roman" w:hAnsi="Times New Roman"/>
                <w:szCs w:val="26"/>
              </w:rPr>
              <w:t>Користування номерним ресурсом </w:t>
            </w:r>
          </w:p>
        </w:tc>
        <w:tc>
          <w:tcPr>
            <w:tcW w:w="1724" w:type="pct"/>
            <w:tcMar>
              <w:top w:w="100" w:type="dxa"/>
              <w:left w:w="100" w:type="dxa"/>
              <w:bottom w:w="100" w:type="dxa"/>
              <w:right w:w="100" w:type="dxa"/>
            </w:tcMar>
            <w:hideMark/>
          </w:tcPr>
          <w:p w:rsidR="000B6813" w:rsidRPr="00EF7CCA" w:rsidRDefault="000B6813" w:rsidP="00664A57">
            <w:pPr>
              <w:pStyle w:val="a5"/>
              <w:spacing w:before="80" w:line="228" w:lineRule="auto"/>
              <w:ind w:firstLine="0"/>
              <w:rPr>
                <w:rFonts w:ascii="Times New Roman" w:hAnsi="Times New Roman"/>
                <w:szCs w:val="26"/>
              </w:rPr>
            </w:pPr>
            <w:r w:rsidRPr="00EF7CCA">
              <w:rPr>
                <w:rFonts w:ascii="Times New Roman" w:hAnsi="Times New Roman"/>
                <w:color w:val="333333"/>
                <w:szCs w:val="26"/>
                <w:shd w:val="clear" w:color="auto" w:fill="FFFFFF"/>
              </w:rPr>
              <w:t>дозвіл</w:t>
            </w:r>
          </w:p>
        </w:tc>
      </w:tr>
    </w:tbl>
    <w:p w:rsidR="000B6813" w:rsidRDefault="000B6813" w:rsidP="00EF7CCA">
      <w:pPr>
        <w:pStyle w:val="a5"/>
        <w:ind w:firstLine="0"/>
        <w:jc w:val="center"/>
        <w:rPr>
          <w:lang w:val="ru-RU"/>
        </w:rPr>
      </w:pPr>
    </w:p>
    <w:p w:rsidR="000B6813" w:rsidRPr="00EF7CCA" w:rsidRDefault="000B6813" w:rsidP="00EF7CCA">
      <w:pPr>
        <w:pStyle w:val="a5"/>
        <w:ind w:firstLine="0"/>
        <w:jc w:val="center"/>
        <w:rPr>
          <w:rFonts w:ascii="Times New Roman" w:hAnsi="Times New Roman"/>
          <w:lang w:val="ru-RU"/>
        </w:rPr>
      </w:pPr>
      <w:r w:rsidRPr="00EF7CCA">
        <w:rPr>
          <w:rFonts w:ascii="Times New Roman" w:hAnsi="Times New Roman"/>
          <w:lang w:val="ru-RU"/>
        </w:rPr>
        <w:t>__________________</w:t>
      </w:r>
    </w:p>
    <w:p w:rsidR="000B6813" w:rsidRPr="000B6813" w:rsidRDefault="000B6813">
      <w:pPr>
        <w:rPr>
          <w:lang w:val="en-US"/>
        </w:rPr>
      </w:pPr>
    </w:p>
    <w:sectPr w:rsidR="000B6813" w:rsidRPr="000B6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ProbaPro">
    <w:altName w:val="Times New Roman"/>
    <w:panose1 w:val="00000000000000000000"/>
    <w:charset w:val="00"/>
    <w:family w:val="roman"/>
    <w:notTrueType/>
    <w:pitch w:val="default"/>
  </w:font>
  <w:font w:name="MyriadPro">
    <w:altName w:val="Segoe Print"/>
    <w:charset w:val="00"/>
    <w:family w:val="auto"/>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E9" w:rsidRPr="00EF7CCA" w:rsidRDefault="000B6813">
    <w:pPr>
      <w:pStyle w:val="a7"/>
      <w:jc w:val="center"/>
      <w:rPr>
        <w:szCs w:val="26"/>
      </w:rPr>
    </w:pPr>
    <w:r w:rsidRPr="00EF7CCA">
      <w:rPr>
        <w:rFonts w:ascii="Times New Roman" w:hAnsi="Times New Roman"/>
        <w:szCs w:val="26"/>
      </w:rPr>
      <w:fldChar w:fldCharType="begin"/>
    </w:r>
    <w:r w:rsidRPr="00EF7CCA">
      <w:rPr>
        <w:rFonts w:ascii="Times New Roman" w:hAnsi="Times New Roman"/>
        <w:szCs w:val="26"/>
      </w:rPr>
      <w:instrText>PAGE   \* MERGEFORMAT</w:instrText>
    </w:r>
    <w:r w:rsidRPr="00EF7CCA">
      <w:rPr>
        <w:rFonts w:ascii="Times New Roman" w:hAnsi="Times New Roman"/>
        <w:szCs w:val="26"/>
      </w:rPr>
      <w:fldChar w:fldCharType="separate"/>
    </w:r>
    <w:r>
      <w:rPr>
        <w:rFonts w:ascii="Times New Roman" w:hAnsi="Times New Roman"/>
        <w:noProof/>
        <w:szCs w:val="26"/>
      </w:rPr>
      <w:t>1</w:t>
    </w:r>
    <w:r w:rsidRPr="00EF7CCA">
      <w:rPr>
        <w:rFonts w:ascii="Times New Roman" w:hAnsi="Times New Roman"/>
        <w:szCs w:val="26"/>
      </w:rPr>
      <w:fldChar w:fldCharType="end"/>
    </w:r>
  </w:p>
  <w:p w:rsidR="00E941E9" w:rsidRPr="00EF7CCA" w:rsidRDefault="000B6813" w:rsidP="00EF7CCA">
    <w:pPr>
      <w:pStyle w:val="a7"/>
      <w:jc w:val="right"/>
      <w:rPr>
        <w:rFonts w:ascii="Times New Roman" w:hAnsi="Times New Roman"/>
      </w:rPr>
    </w:pPr>
    <w:r>
      <w:rPr>
        <w:rFonts w:ascii="Times New Roman" w:hAnsi="Times New Roman"/>
      </w:rPr>
      <w:t>Продовження додатка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BD"/>
    <w:rsid w:val="000B6813"/>
    <w:rsid w:val="009666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66BD"/>
    <w:rPr>
      <w:b/>
      <w:bCs/>
    </w:rPr>
  </w:style>
  <w:style w:type="paragraph" w:styleId="a4">
    <w:name w:val="Normal (Web)"/>
    <w:basedOn w:val="a"/>
    <w:uiPriority w:val="99"/>
    <w:semiHidden/>
    <w:unhideWhenUsed/>
    <w:rsid w:val="009666BD"/>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a5">
    <w:name w:val="Нормальний текст"/>
    <w:basedOn w:val="a"/>
    <w:rsid w:val="000B6813"/>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0B6813"/>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7">
    <w:name w:val="header"/>
    <w:basedOn w:val="a"/>
    <w:link w:val="a8"/>
    <w:uiPriority w:val="99"/>
    <w:rsid w:val="000B6813"/>
    <w:pPr>
      <w:tabs>
        <w:tab w:val="center" w:pos="4153"/>
        <w:tab w:val="right" w:pos="8306"/>
      </w:tabs>
      <w:spacing w:after="0" w:line="240" w:lineRule="auto"/>
    </w:pPr>
    <w:rPr>
      <w:rFonts w:ascii="Antiqua" w:eastAsia="Times New Roman" w:hAnsi="Antiqua" w:cs="Times New Roman"/>
      <w:sz w:val="26"/>
      <w:szCs w:val="20"/>
      <w:lang w:val="uk-UA" w:eastAsia="ru-RU"/>
    </w:rPr>
  </w:style>
  <w:style w:type="character" w:customStyle="1" w:styleId="a8">
    <w:name w:val="Верхний колонтитул Знак"/>
    <w:basedOn w:val="a0"/>
    <w:link w:val="a7"/>
    <w:uiPriority w:val="99"/>
    <w:rsid w:val="000B6813"/>
    <w:rPr>
      <w:rFonts w:ascii="Antiqua" w:eastAsia="Times New Roman" w:hAnsi="Antiqua" w:cs="Times New Roman"/>
      <w:sz w:val="26"/>
      <w:szCs w:val="20"/>
      <w:lang w:val="uk-UA" w:eastAsia="ru-RU"/>
    </w:rPr>
  </w:style>
  <w:style w:type="paragraph" w:customStyle="1" w:styleId="ShapkaDocumentu">
    <w:name w:val="Shapka Documentu"/>
    <w:basedOn w:val="a"/>
    <w:rsid w:val="000B6813"/>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66BD"/>
    <w:rPr>
      <w:b/>
      <w:bCs/>
    </w:rPr>
  </w:style>
  <w:style w:type="paragraph" w:styleId="a4">
    <w:name w:val="Normal (Web)"/>
    <w:basedOn w:val="a"/>
    <w:uiPriority w:val="99"/>
    <w:semiHidden/>
    <w:unhideWhenUsed/>
    <w:rsid w:val="009666BD"/>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a5">
    <w:name w:val="Нормальний текст"/>
    <w:basedOn w:val="a"/>
    <w:rsid w:val="000B6813"/>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0B6813"/>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7">
    <w:name w:val="header"/>
    <w:basedOn w:val="a"/>
    <w:link w:val="a8"/>
    <w:uiPriority w:val="99"/>
    <w:rsid w:val="000B6813"/>
    <w:pPr>
      <w:tabs>
        <w:tab w:val="center" w:pos="4153"/>
        <w:tab w:val="right" w:pos="8306"/>
      </w:tabs>
      <w:spacing w:after="0" w:line="240" w:lineRule="auto"/>
    </w:pPr>
    <w:rPr>
      <w:rFonts w:ascii="Antiqua" w:eastAsia="Times New Roman" w:hAnsi="Antiqua" w:cs="Times New Roman"/>
      <w:sz w:val="26"/>
      <w:szCs w:val="20"/>
      <w:lang w:val="uk-UA" w:eastAsia="ru-RU"/>
    </w:rPr>
  </w:style>
  <w:style w:type="character" w:customStyle="1" w:styleId="a8">
    <w:name w:val="Верхний колонтитул Знак"/>
    <w:basedOn w:val="a0"/>
    <w:link w:val="a7"/>
    <w:uiPriority w:val="99"/>
    <w:rsid w:val="000B6813"/>
    <w:rPr>
      <w:rFonts w:ascii="Antiqua" w:eastAsia="Times New Roman" w:hAnsi="Antiqua" w:cs="Times New Roman"/>
      <w:sz w:val="26"/>
      <w:szCs w:val="20"/>
      <w:lang w:val="uk-UA" w:eastAsia="ru-RU"/>
    </w:rPr>
  </w:style>
  <w:style w:type="paragraph" w:customStyle="1" w:styleId="ShapkaDocumentu">
    <w:name w:val="Shapka Documentu"/>
    <w:basedOn w:val="a"/>
    <w:rsid w:val="000B6813"/>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572351">
      <w:bodyDiv w:val="1"/>
      <w:marLeft w:val="0"/>
      <w:marRight w:val="0"/>
      <w:marTop w:val="0"/>
      <w:marBottom w:val="0"/>
      <w:divBdr>
        <w:top w:val="none" w:sz="0" w:space="0" w:color="auto"/>
        <w:left w:val="none" w:sz="0" w:space="0" w:color="auto"/>
        <w:bottom w:val="none" w:sz="0" w:space="0" w:color="auto"/>
        <w:right w:val="none" w:sz="0" w:space="0" w:color="auto"/>
      </w:divBdr>
      <w:divsChild>
        <w:div w:id="641809243">
          <w:marLeft w:val="-225"/>
          <w:marRight w:val="-225"/>
          <w:marTop w:val="0"/>
          <w:marBottom w:val="0"/>
          <w:divBdr>
            <w:top w:val="none" w:sz="0" w:space="0" w:color="auto"/>
            <w:left w:val="none" w:sz="0" w:space="0" w:color="auto"/>
            <w:bottom w:val="none" w:sz="0" w:space="0" w:color="auto"/>
            <w:right w:val="none" w:sz="0" w:space="0" w:color="auto"/>
          </w:divBdr>
          <w:divsChild>
            <w:div w:id="1630739462">
              <w:marLeft w:val="0"/>
              <w:marRight w:val="0"/>
              <w:marTop w:val="0"/>
              <w:marBottom w:val="0"/>
              <w:divBdr>
                <w:top w:val="none" w:sz="0" w:space="0" w:color="auto"/>
                <w:left w:val="none" w:sz="0" w:space="0" w:color="auto"/>
                <w:bottom w:val="none" w:sz="0" w:space="0" w:color="auto"/>
                <w:right w:val="none" w:sz="0" w:space="0" w:color="auto"/>
              </w:divBdr>
              <w:divsChild>
                <w:div w:id="636180428">
                  <w:marLeft w:val="0"/>
                  <w:marRight w:val="0"/>
                  <w:marTop w:val="0"/>
                  <w:marBottom w:val="225"/>
                  <w:divBdr>
                    <w:top w:val="none" w:sz="0" w:space="0" w:color="auto"/>
                    <w:left w:val="none" w:sz="0" w:space="0" w:color="auto"/>
                    <w:bottom w:val="none" w:sz="0" w:space="0" w:color="auto"/>
                    <w:right w:val="none" w:sz="0" w:space="0" w:color="auto"/>
                  </w:divBdr>
                  <w:divsChild>
                    <w:div w:id="1160392157">
                      <w:marLeft w:val="0"/>
                      <w:marRight w:val="0"/>
                      <w:marTop w:val="0"/>
                      <w:marBottom w:val="0"/>
                      <w:divBdr>
                        <w:top w:val="none" w:sz="0" w:space="0" w:color="auto"/>
                        <w:left w:val="none" w:sz="0" w:space="0" w:color="auto"/>
                        <w:bottom w:val="none" w:sz="0" w:space="0" w:color="auto"/>
                        <w:right w:val="none" w:sz="0" w:space="0" w:color="auto"/>
                      </w:divBdr>
                      <w:divsChild>
                        <w:div w:id="1275938713">
                          <w:marLeft w:val="0"/>
                          <w:marRight w:val="0"/>
                          <w:marTop w:val="0"/>
                          <w:marBottom w:val="300"/>
                          <w:divBdr>
                            <w:top w:val="none" w:sz="0" w:space="0" w:color="auto"/>
                            <w:left w:val="none" w:sz="0" w:space="0" w:color="auto"/>
                            <w:bottom w:val="none" w:sz="0" w:space="0" w:color="auto"/>
                            <w:right w:val="none" w:sz="0" w:space="0" w:color="auto"/>
                          </w:divBdr>
                        </w:div>
                        <w:div w:id="1627202750">
                          <w:marLeft w:val="0"/>
                          <w:marRight w:val="0"/>
                          <w:marTop w:val="0"/>
                          <w:marBottom w:val="0"/>
                          <w:divBdr>
                            <w:top w:val="none" w:sz="0" w:space="0" w:color="auto"/>
                            <w:left w:val="none" w:sz="0" w:space="0" w:color="auto"/>
                            <w:bottom w:val="none" w:sz="0" w:space="0" w:color="auto"/>
                            <w:right w:val="none" w:sz="0" w:space="0" w:color="auto"/>
                          </w:divBdr>
                        </w:div>
                        <w:div w:id="231736355">
                          <w:marLeft w:val="0"/>
                          <w:marRight w:val="0"/>
                          <w:marTop w:val="225"/>
                          <w:marBottom w:val="0"/>
                          <w:divBdr>
                            <w:top w:val="none" w:sz="0" w:space="0" w:color="auto"/>
                            <w:left w:val="none" w:sz="0" w:space="0" w:color="auto"/>
                            <w:bottom w:val="none" w:sz="0" w:space="0" w:color="auto"/>
                            <w:right w:val="none" w:sz="0" w:space="0" w:color="auto"/>
                          </w:divBdr>
                        </w:div>
                      </w:divsChild>
                    </w:div>
                    <w:div w:id="339822800">
                      <w:marLeft w:val="0"/>
                      <w:marRight w:val="0"/>
                      <w:marTop w:val="225"/>
                      <w:marBottom w:val="225"/>
                      <w:divBdr>
                        <w:top w:val="none" w:sz="0" w:space="0" w:color="auto"/>
                        <w:left w:val="none" w:sz="0" w:space="0" w:color="auto"/>
                        <w:bottom w:val="none" w:sz="0" w:space="0" w:color="auto"/>
                        <w:right w:val="none" w:sz="0" w:space="0" w:color="auto"/>
                      </w:divBdr>
                    </w:div>
                    <w:div w:id="19605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1348">
          <w:marLeft w:val="0"/>
          <w:marRight w:val="0"/>
          <w:marTop w:val="0"/>
          <w:marBottom w:val="0"/>
          <w:divBdr>
            <w:top w:val="none" w:sz="0" w:space="0" w:color="auto"/>
            <w:left w:val="none" w:sz="0" w:space="0" w:color="auto"/>
            <w:bottom w:val="none" w:sz="0" w:space="0" w:color="auto"/>
            <w:right w:val="none" w:sz="0" w:space="0" w:color="auto"/>
          </w:divBdr>
          <w:divsChild>
            <w:div w:id="1182548403">
              <w:marLeft w:val="-225"/>
              <w:marRight w:val="-225"/>
              <w:marTop w:val="0"/>
              <w:marBottom w:val="0"/>
              <w:divBdr>
                <w:top w:val="none" w:sz="0" w:space="0" w:color="auto"/>
                <w:left w:val="none" w:sz="0" w:space="0" w:color="auto"/>
                <w:bottom w:val="none" w:sz="0" w:space="0" w:color="auto"/>
                <w:right w:val="none" w:sz="0" w:space="0" w:color="auto"/>
              </w:divBdr>
              <w:divsChild>
                <w:div w:id="1031807247">
                  <w:marLeft w:val="0"/>
                  <w:marRight w:val="0"/>
                  <w:marTop w:val="0"/>
                  <w:marBottom w:val="0"/>
                  <w:divBdr>
                    <w:top w:val="none" w:sz="0" w:space="0" w:color="auto"/>
                    <w:left w:val="none" w:sz="0" w:space="0" w:color="auto"/>
                    <w:bottom w:val="none" w:sz="0" w:space="0" w:color="auto"/>
                    <w:right w:val="none" w:sz="0" w:space="0" w:color="auto"/>
                  </w:divBdr>
                  <w:divsChild>
                    <w:div w:id="490564764">
                      <w:marLeft w:val="0"/>
                      <w:marRight w:val="0"/>
                      <w:marTop w:val="0"/>
                      <w:marBottom w:val="0"/>
                      <w:divBdr>
                        <w:top w:val="none" w:sz="0" w:space="0" w:color="auto"/>
                        <w:left w:val="none" w:sz="0" w:space="0" w:color="auto"/>
                        <w:bottom w:val="none" w:sz="0" w:space="0" w:color="auto"/>
                        <w:right w:val="none" w:sz="0" w:space="0" w:color="auto"/>
                      </w:divBdr>
                      <w:divsChild>
                        <w:div w:id="1915123464">
                          <w:marLeft w:val="0"/>
                          <w:marRight w:val="0"/>
                          <w:marTop w:val="0"/>
                          <w:marBottom w:val="0"/>
                          <w:divBdr>
                            <w:top w:val="none" w:sz="0" w:space="0" w:color="auto"/>
                            <w:left w:val="none" w:sz="0" w:space="0" w:color="auto"/>
                            <w:bottom w:val="none" w:sz="0" w:space="0" w:color="auto"/>
                            <w:right w:val="none" w:sz="0" w:space="0" w:color="auto"/>
                          </w:divBdr>
                          <w:divsChild>
                            <w:div w:id="1089423561">
                              <w:marLeft w:val="0"/>
                              <w:marRight w:val="0"/>
                              <w:marTop w:val="0"/>
                              <w:marBottom w:val="0"/>
                              <w:divBdr>
                                <w:top w:val="none" w:sz="0" w:space="0" w:color="auto"/>
                                <w:left w:val="none" w:sz="0" w:space="0" w:color="auto"/>
                                <w:bottom w:val="none" w:sz="0" w:space="0" w:color="auto"/>
                                <w:right w:val="none" w:sz="0" w:space="0" w:color="auto"/>
                              </w:divBdr>
                              <w:divsChild>
                                <w:div w:id="117684558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0042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2477</Words>
  <Characters>14123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2022-03-21T12:04:00Z</dcterms:created>
  <dcterms:modified xsi:type="dcterms:W3CDTF">2022-03-21T12:05:00Z</dcterms:modified>
</cp:coreProperties>
</file>