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609"/>
        <w:gridCol w:w="3740"/>
      </w:tblGrid>
      <w:tr w:rsidR="00ED7D3B" w:rsidRPr="00ED7D3B" w:rsidTr="00ED7D3B">
        <w:tc>
          <w:tcPr>
            <w:tcW w:w="12135" w:type="dxa"/>
            <w:gridSpan w:val="2"/>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0" w:line="240" w:lineRule="auto"/>
              <w:jc w:val="center"/>
              <w:rPr>
                <w:rFonts w:ascii="Times New Roman" w:eastAsia="Times New Roman" w:hAnsi="Times New Roman" w:cs="Times New Roman"/>
                <w:sz w:val="24"/>
                <w:szCs w:val="24"/>
                <w:lang w:eastAsia="ru-RU"/>
              </w:rPr>
            </w:pPr>
            <w:bookmarkStart w:id="0" w:name="_GoBack"/>
            <w:bookmarkEnd w:id="0"/>
            <w:r w:rsidRPr="00ED7D3B">
              <w:rPr>
                <w:rFonts w:ascii="Times New Roman" w:eastAsia="Times New Roman" w:hAnsi="Times New Roman" w:cs="Times New Roman"/>
                <w:b/>
                <w:bCs/>
                <w:sz w:val="28"/>
                <w:szCs w:val="28"/>
                <w:lang w:eastAsia="ru-RU"/>
              </w:rPr>
              <w:t>МІНІСТЕРСТВО ОХОРОНИ ЗДОРОВ’Я УКРАЇНИ</w:t>
            </w:r>
          </w:p>
        </w:tc>
      </w:tr>
      <w:tr w:rsidR="00ED7D3B" w:rsidRPr="00ED7D3B" w:rsidTr="00ED7D3B">
        <w:tc>
          <w:tcPr>
            <w:tcW w:w="12135" w:type="dxa"/>
            <w:gridSpan w:val="2"/>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30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32"/>
                <w:szCs w:val="32"/>
                <w:lang w:eastAsia="ru-RU"/>
              </w:rPr>
              <w:t>НАКАЗ</w:t>
            </w:r>
          </w:p>
        </w:tc>
      </w:tr>
      <w:tr w:rsidR="00ED7D3B" w:rsidRPr="00ED7D3B" w:rsidTr="00ED7D3B">
        <w:tc>
          <w:tcPr>
            <w:tcW w:w="12135" w:type="dxa"/>
            <w:gridSpan w:val="2"/>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ind w:left="450" w:right="450"/>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19.08.2021  № 1766</w:t>
            </w:r>
          </w:p>
        </w:tc>
      </w:tr>
      <w:tr w:rsidR="00ED7D3B" w:rsidRPr="00ED7D3B" w:rsidTr="00ED7D3B">
        <w:tc>
          <w:tcPr>
            <w:tcW w:w="3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 w:name="n3"/>
            <w:bookmarkEnd w:id="1"/>
            <w:r w:rsidRPr="00ED7D3B">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Зареєстровано в Міністерстві</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юстиції України</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11 жовтня 2021 р.</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за № 1316/36938</w:t>
            </w:r>
          </w:p>
        </w:tc>
      </w:tr>
    </w:tbl>
    <w:p w:rsidR="00ED7D3B" w:rsidRPr="00ED7D3B" w:rsidRDefault="00ED7D3B" w:rsidP="00ED7D3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2" w:name="n4"/>
      <w:bookmarkEnd w:id="2"/>
      <w:r w:rsidRPr="00ED7D3B">
        <w:rPr>
          <w:rFonts w:ascii="Times New Roman" w:eastAsia="Times New Roman" w:hAnsi="Times New Roman" w:cs="Times New Roman"/>
          <w:b/>
          <w:bCs/>
          <w:color w:val="333333"/>
          <w:sz w:val="32"/>
          <w:szCs w:val="32"/>
          <w:lang w:eastAsia="ru-RU"/>
        </w:rPr>
        <w:t>Про затвердження Порядку здійснення дозорного епідеміологічного нагляду за протимікробною резистентністю</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5"/>
      <w:bookmarkEnd w:id="3"/>
      <w:r w:rsidRPr="00ED7D3B">
        <w:rPr>
          <w:rFonts w:ascii="Times New Roman" w:eastAsia="Times New Roman" w:hAnsi="Times New Roman" w:cs="Times New Roman"/>
          <w:color w:val="333333"/>
          <w:sz w:val="24"/>
          <w:szCs w:val="24"/>
          <w:lang w:eastAsia="ru-RU"/>
        </w:rPr>
        <w:t>Відповідно до </w:t>
      </w:r>
      <w:hyperlink r:id="rId4" w:anchor="n73" w:tgtFrame="_blank" w:history="1">
        <w:r w:rsidRPr="00ED7D3B">
          <w:rPr>
            <w:rFonts w:ascii="Times New Roman" w:eastAsia="Times New Roman" w:hAnsi="Times New Roman" w:cs="Times New Roman"/>
            <w:color w:val="000099"/>
            <w:sz w:val="24"/>
            <w:szCs w:val="24"/>
            <w:u w:val="single"/>
            <w:lang w:eastAsia="ru-RU"/>
          </w:rPr>
          <w:t>абзацу третього</w:t>
        </w:r>
      </w:hyperlink>
      <w:r w:rsidRPr="00ED7D3B">
        <w:rPr>
          <w:rFonts w:ascii="Times New Roman" w:eastAsia="Times New Roman" w:hAnsi="Times New Roman" w:cs="Times New Roman"/>
          <w:color w:val="333333"/>
          <w:sz w:val="24"/>
          <w:szCs w:val="24"/>
          <w:lang w:eastAsia="ru-RU"/>
        </w:rPr>
        <w:t> статті 6 Закону України «Про захист населення від інфекційних хвороб», </w:t>
      </w:r>
      <w:hyperlink r:id="rId5" w:anchor="n21" w:tgtFrame="_blank" w:history="1">
        <w:r w:rsidRPr="00ED7D3B">
          <w:rPr>
            <w:rFonts w:ascii="Times New Roman" w:eastAsia="Times New Roman" w:hAnsi="Times New Roman" w:cs="Times New Roman"/>
            <w:color w:val="000099"/>
            <w:sz w:val="24"/>
            <w:szCs w:val="24"/>
            <w:u w:val="single"/>
            <w:lang w:eastAsia="ru-RU"/>
          </w:rPr>
          <w:t>підпункту 3</w:t>
        </w:r>
      </w:hyperlink>
      <w:r w:rsidRPr="00ED7D3B">
        <w:rPr>
          <w:rFonts w:ascii="Times New Roman" w:eastAsia="Times New Roman" w:hAnsi="Times New Roman" w:cs="Times New Roman"/>
          <w:color w:val="333333"/>
          <w:sz w:val="24"/>
          <w:szCs w:val="24"/>
          <w:lang w:eastAsia="ru-RU"/>
        </w:rPr>
        <w:t> пункту 3 Національного плану дій щодо боротьби із стійкістю до протимікробних препаратів, затвердженого розпорядженням Кабінету Міністрів України від 06 березня 2019 року № 116-р, </w:t>
      </w:r>
      <w:hyperlink r:id="rId6" w:anchor="n785" w:tgtFrame="_blank" w:history="1">
        <w:r w:rsidRPr="00ED7D3B">
          <w:rPr>
            <w:rFonts w:ascii="Times New Roman" w:eastAsia="Times New Roman" w:hAnsi="Times New Roman" w:cs="Times New Roman"/>
            <w:color w:val="000099"/>
            <w:sz w:val="24"/>
            <w:szCs w:val="24"/>
            <w:u w:val="single"/>
            <w:lang w:eastAsia="ru-RU"/>
          </w:rPr>
          <w:t>пункту 8</w:t>
        </w:r>
      </w:hyperlink>
      <w:r w:rsidRPr="00ED7D3B">
        <w:rPr>
          <w:rFonts w:ascii="Times New Roman" w:eastAsia="Times New Roman" w:hAnsi="Times New Roman" w:cs="Times New Roman"/>
          <w:color w:val="333333"/>
          <w:sz w:val="24"/>
          <w:szCs w:val="24"/>
          <w:lang w:eastAsia="ru-RU"/>
        </w:rPr>
        <w:t>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з метою створення на території України мережі дозорного епідеміологічного нагляду за антимікробною резистентністю інвазивних патогенів </w:t>
      </w:r>
      <w:r w:rsidRPr="00ED7D3B">
        <w:rPr>
          <w:rFonts w:ascii="Times New Roman" w:eastAsia="Times New Roman" w:hAnsi="Times New Roman" w:cs="Times New Roman"/>
          <w:b/>
          <w:bCs/>
          <w:color w:val="333333"/>
          <w:spacing w:val="30"/>
          <w:sz w:val="24"/>
          <w:szCs w:val="24"/>
          <w:lang w:eastAsia="ru-RU"/>
        </w:rPr>
        <w:t>НАКАЗУЮ:</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6"/>
      <w:bookmarkEnd w:id="4"/>
      <w:r w:rsidRPr="00ED7D3B">
        <w:rPr>
          <w:rFonts w:ascii="Times New Roman" w:eastAsia="Times New Roman" w:hAnsi="Times New Roman" w:cs="Times New Roman"/>
          <w:color w:val="333333"/>
          <w:sz w:val="24"/>
          <w:szCs w:val="24"/>
          <w:lang w:eastAsia="ru-RU"/>
        </w:rPr>
        <w:t>1. Затвердити </w:t>
      </w:r>
      <w:hyperlink r:id="rId7" w:anchor="n15" w:history="1">
        <w:r w:rsidRPr="00ED7D3B">
          <w:rPr>
            <w:rFonts w:ascii="Times New Roman" w:eastAsia="Times New Roman" w:hAnsi="Times New Roman" w:cs="Times New Roman"/>
            <w:color w:val="006600"/>
            <w:sz w:val="24"/>
            <w:szCs w:val="24"/>
            <w:u w:val="single"/>
            <w:lang w:eastAsia="ru-RU"/>
          </w:rPr>
          <w:t>Порядок здійснення дозорного епідеміологічного нагляду за протимікробною резистентністю</w:t>
        </w:r>
      </w:hyperlink>
      <w:r w:rsidRPr="00ED7D3B">
        <w:rPr>
          <w:rFonts w:ascii="Times New Roman" w:eastAsia="Times New Roman" w:hAnsi="Times New Roman" w:cs="Times New Roman"/>
          <w:color w:val="333333"/>
          <w:sz w:val="24"/>
          <w:szCs w:val="24"/>
          <w:lang w:eastAsia="ru-RU"/>
        </w:rPr>
        <w:t>, що додається.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7"/>
      <w:bookmarkEnd w:id="5"/>
      <w:r w:rsidRPr="00ED7D3B">
        <w:rPr>
          <w:rFonts w:ascii="Times New Roman" w:eastAsia="Times New Roman" w:hAnsi="Times New Roman" w:cs="Times New Roman"/>
          <w:color w:val="333333"/>
          <w:sz w:val="24"/>
          <w:szCs w:val="24"/>
          <w:lang w:eastAsia="ru-RU"/>
        </w:rPr>
        <w:t>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забезпечити виконання цього наказу.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8"/>
      <w:bookmarkEnd w:id="6"/>
      <w:r w:rsidRPr="00ED7D3B">
        <w:rPr>
          <w:rFonts w:ascii="Times New Roman" w:eastAsia="Times New Roman" w:hAnsi="Times New Roman" w:cs="Times New Roman"/>
          <w:color w:val="333333"/>
          <w:sz w:val="24"/>
          <w:szCs w:val="24"/>
          <w:lang w:eastAsia="ru-RU"/>
        </w:rPr>
        <w:t>3. Директорату громадського здоров’я та профілактики захворюваності (Руденко І. С.) забезпечити подання цього наказу в установленому законодавством порядку на державну реєстрацію до Міністерства юстиції України.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ED7D3B">
        <w:rPr>
          <w:rFonts w:ascii="Times New Roman" w:eastAsia="Times New Roman" w:hAnsi="Times New Roman" w:cs="Times New Roman"/>
          <w:color w:val="333333"/>
          <w:sz w:val="24"/>
          <w:szCs w:val="24"/>
          <w:lang w:eastAsia="ru-RU"/>
        </w:rPr>
        <w:t>4. Контроль за виконанням цього наказу залишаю за собою.</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0"/>
      <w:bookmarkEnd w:id="8"/>
      <w:r w:rsidRPr="00ED7D3B">
        <w:rPr>
          <w:rFonts w:ascii="Times New Roman" w:eastAsia="Times New Roman" w:hAnsi="Times New Roman" w:cs="Times New Roman"/>
          <w:color w:val="333333"/>
          <w:sz w:val="24"/>
          <w:szCs w:val="24"/>
          <w:lang w:eastAsia="ru-RU"/>
        </w:rPr>
        <w:t>5.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26"/>
        <w:gridCol w:w="1683"/>
        <w:gridCol w:w="3740"/>
      </w:tblGrid>
      <w:tr w:rsidR="00ED7D3B" w:rsidRPr="00ED7D3B" w:rsidTr="00ED7D3B">
        <w:tc>
          <w:tcPr>
            <w:tcW w:w="21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300" w:after="150" w:line="240" w:lineRule="auto"/>
              <w:jc w:val="center"/>
              <w:rPr>
                <w:rFonts w:ascii="Times New Roman" w:eastAsia="Times New Roman" w:hAnsi="Times New Roman" w:cs="Times New Roman"/>
                <w:sz w:val="24"/>
                <w:szCs w:val="24"/>
                <w:lang w:eastAsia="ru-RU"/>
              </w:rPr>
            </w:pPr>
            <w:bookmarkStart w:id="9" w:name="n11"/>
            <w:bookmarkEnd w:id="9"/>
            <w:r w:rsidRPr="00ED7D3B">
              <w:rPr>
                <w:rFonts w:ascii="Times New Roman" w:eastAsia="Times New Roman" w:hAnsi="Times New Roman" w:cs="Times New Roman"/>
                <w:b/>
                <w:bCs/>
                <w:sz w:val="24"/>
                <w:szCs w:val="24"/>
                <w:lang w:eastAsia="ru-RU"/>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300" w:after="0" w:line="240" w:lineRule="auto"/>
              <w:jc w:val="right"/>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В. Ляшко</w:t>
            </w:r>
          </w:p>
        </w:tc>
      </w:tr>
      <w:tr w:rsidR="00ED7D3B" w:rsidRPr="00ED7D3B" w:rsidTr="00ED7D3B">
        <w:tc>
          <w:tcPr>
            <w:tcW w:w="3000" w:type="pct"/>
            <w:gridSpan w:val="2"/>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0" w:name="n12"/>
            <w:bookmarkEnd w:id="10"/>
            <w:proofErr w:type="gramStart"/>
            <w:r w:rsidRPr="00ED7D3B">
              <w:rPr>
                <w:rFonts w:ascii="Times New Roman" w:eastAsia="Times New Roman" w:hAnsi="Times New Roman" w:cs="Times New Roman"/>
                <w:sz w:val="24"/>
                <w:szCs w:val="24"/>
                <w:lang w:eastAsia="ru-RU"/>
              </w:rPr>
              <w:t>ПОГОДЖЕНО:</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t>Голова</w:t>
            </w:r>
            <w:proofErr w:type="gramEnd"/>
            <w:r w:rsidRPr="00ED7D3B">
              <w:rPr>
                <w:rFonts w:ascii="Times New Roman" w:eastAsia="Times New Roman" w:hAnsi="Times New Roman" w:cs="Times New Roman"/>
                <w:sz w:val="24"/>
                <w:szCs w:val="24"/>
                <w:lang w:eastAsia="ru-RU"/>
              </w:rPr>
              <w:t xml:space="preserve"> Державної регуляторної служби України</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t>В.о. президента Національної академії</w:t>
            </w:r>
            <w:r w:rsidRPr="00ED7D3B">
              <w:rPr>
                <w:rFonts w:ascii="Times New Roman" w:eastAsia="Times New Roman" w:hAnsi="Times New Roman" w:cs="Times New Roman"/>
                <w:sz w:val="24"/>
                <w:szCs w:val="24"/>
                <w:lang w:eastAsia="ru-RU"/>
              </w:rPr>
              <w:br/>
              <w:t>медичних наук України</w:t>
            </w:r>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jc w:val="right"/>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t>О. Кучер</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t>Д. Заболотний</w:t>
            </w:r>
          </w:p>
        </w:tc>
      </w:tr>
    </w:tbl>
    <w:p w:rsidR="00ED7D3B" w:rsidRPr="00ED7D3B" w:rsidRDefault="00ED7D3B" w:rsidP="00ED7D3B">
      <w:pPr>
        <w:spacing w:after="0" w:line="240" w:lineRule="auto"/>
        <w:rPr>
          <w:rFonts w:ascii="Times New Roman" w:eastAsia="Times New Roman" w:hAnsi="Times New Roman" w:cs="Times New Roman"/>
          <w:sz w:val="24"/>
          <w:szCs w:val="24"/>
          <w:lang w:eastAsia="ru-RU"/>
        </w:rPr>
      </w:pPr>
      <w:bookmarkStart w:id="11" w:name="n173"/>
      <w:bookmarkEnd w:id="11"/>
      <w:r w:rsidRPr="00ED7D3B">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ED7D3B" w:rsidRPr="00ED7D3B" w:rsidTr="00ED7D3B">
        <w:tc>
          <w:tcPr>
            <w:tcW w:w="3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2" w:name="n13"/>
            <w:bookmarkEnd w:id="12"/>
            <w:r w:rsidRPr="00ED7D3B">
              <w:rPr>
                <w:rFonts w:ascii="Times New Roman" w:eastAsia="Times New Roman" w:hAnsi="Times New Roman" w:cs="Times New Roman"/>
                <w:b/>
                <w:bCs/>
                <w:sz w:val="24"/>
                <w:szCs w:val="24"/>
                <w:lang w:eastAsia="ru-RU"/>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ЗАТВЕРДЖЕНО</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Наказ Міністерства охорони</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здоров’я України</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19 серпня 2021 р. № 1766</w:t>
            </w:r>
          </w:p>
        </w:tc>
      </w:tr>
      <w:tr w:rsidR="00ED7D3B" w:rsidRPr="00ED7D3B" w:rsidTr="00ED7D3B">
        <w:tc>
          <w:tcPr>
            <w:tcW w:w="3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3" w:name="n14"/>
            <w:bookmarkEnd w:id="13"/>
            <w:r w:rsidRPr="00ED7D3B">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Зареєстровано в Міністерстві</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юстиції України</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11 жовтня 2021 р.</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за № 1316/36938</w:t>
            </w:r>
          </w:p>
        </w:tc>
      </w:tr>
    </w:tbl>
    <w:p w:rsidR="00ED7D3B" w:rsidRPr="00ED7D3B" w:rsidRDefault="00ED7D3B" w:rsidP="00ED7D3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4" w:name="n15"/>
      <w:bookmarkEnd w:id="14"/>
      <w:r w:rsidRPr="00ED7D3B">
        <w:rPr>
          <w:rFonts w:ascii="Times New Roman" w:eastAsia="Times New Roman" w:hAnsi="Times New Roman" w:cs="Times New Roman"/>
          <w:b/>
          <w:bCs/>
          <w:color w:val="333333"/>
          <w:sz w:val="32"/>
          <w:szCs w:val="32"/>
          <w:lang w:eastAsia="ru-RU"/>
        </w:rPr>
        <w:t>ПОРЯДОК</w:t>
      </w:r>
      <w:r w:rsidRPr="00ED7D3B">
        <w:rPr>
          <w:rFonts w:ascii="Times New Roman" w:eastAsia="Times New Roman" w:hAnsi="Times New Roman" w:cs="Times New Roman"/>
          <w:color w:val="333333"/>
          <w:sz w:val="24"/>
          <w:szCs w:val="24"/>
          <w:lang w:eastAsia="ru-RU"/>
        </w:rPr>
        <w:br/>
      </w:r>
      <w:r w:rsidRPr="00ED7D3B">
        <w:rPr>
          <w:rFonts w:ascii="Times New Roman" w:eastAsia="Times New Roman" w:hAnsi="Times New Roman" w:cs="Times New Roman"/>
          <w:b/>
          <w:bCs/>
          <w:color w:val="333333"/>
          <w:sz w:val="32"/>
          <w:szCs w:val="32"/>
          <w:lang w:eastAsia="ru-RU"/>
        </w:rPr>
        <w:t>здійснення дозорного епідеміологічного нагляду за протимікробною резистентністю</w:t>
      </w:r>
    </w:p>
    <w:p w:rsidR="00ED7D3B" w:rsidRP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 w:name="n16"/>
      <w:bookmarkEnd w:id="15"/>
      <w:r w:rsidRPr="00ED7D3B">
        <w:rPr>
          <w:rFonts w:ascii="Times New Roman" w:eastAsia="Times New Roman" w:hAnsi="Times New Roman" w:cs="Times New Roman"/>
          <w:b/>
          <w:bCs/>
          <w:color w:val="333333"/>
          <w:sz w:val="28"/>
          <w:szCs w:val="28"/>
          <w:lang w:eastAsia="ru-RU"/>
        </w:rPr>
        <w:t>I. Загальні положення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7"/>
      <w:bookmarkEnd w:id="16"/>
      <w:r w:rsidRPr="00ED7D3B">
        <w:rPr>
          <w:rFonts w:ascii="Times New Roman" w:eastAsia="Times New Roman" w:hAnsi="Times New Roman" w:cs="Times New Roman"/>
          <w:color w:val="333333"/>
          <w:sz w:val="24"/>
          <w:szCs w:val="24"/>
          <w:lang w:eastAsia="ru-RU"/>
        </w:rPr>
        <w:t>1. Цей Порядок визначає механізм організації епідеміологічного нагляду (далі - епіднагляд) за протимікробною резистентністю (далі - АМР) інвазивних патогенів, їх взаємодії між собою в процесі його здійснення та передачу МОЗ і закладам охорони здоров’я інформації для розробки заходів з протидії поширенню/розповсюдженню мікроорганізмів з резистентністю.</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8"/>
      <w:bookmarkEnd w:id="17"/>
      <w:r w:rsidRPr="00ED7D3B">
        <w:rPr>
          <w:rFonts w:ascii="Times New Roman" w:eastAsia="Times New Roman" w:hAnsi="Times New Roman" w:cs="Times New Roman"/>
          <w:color w:val="333333"/>
          <w:sz w:val="24"/>
          <w:szCs w:val="24"/>
          <w:lang w:eastAsia="ru-RU"/>
        </w:rPr>
        <w:t>Цей Порядок призначено для медичних працівників закладів охорони здоров’я (далі - ЗОЗ) та фізичних осіб - підприємців, які одержали ліцензію на право провадження господарської діяльності з медичної практики, а також для закладів громадського здоров’я.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9"/>
      <w:bookmarkEnd w:id="18"/>
      <w:r w:rsidRPr="00ED7D3B">
        <w:rPr>
          <w:rFonts w:ascii="Times New Roman" w:eastAsia="Times New Roman" w:hAnsi="Times New Roman" w:cs="Times New Roman"/>
          <w:color w:val="333333"/>
          <w:sz w:val="24"/>
          <w:szCs w:val="24"/>
          <w:lang w:eastAsia="ru-RU"/>
        </w:rPr>
        <w:t>2. Координацію, організаційно-методичний та інформаційно-консультативний супровід здійснення дозорного епідеміологічного нагляду за протимікробною резистентністю покладено на державну установу «Центр громадського здоров’я Міністерства охорони здоров’я України» (далі - Центр).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0"/>
      <w:bookmarkEnd w:id="19"/>
      <w:r w:rsidRPr="00ED7D3B">
        <w:rPr>
          <w:rFonts w:ascii="Times New Roman" w:eastAsia="Times New Roman" w:hAnsi="Times New Roman" w:cs="Times New Roman"/>
          <w:color w:val="333333"/>
          <w:sz w:val="24"/>
          <w:szCs w:val="24"/>
          <w:lang w:eastAsia="ru-RU"/>
        </w:rPr>
        <w:t>3. У цьому Порядку терміни вживаються в таких значеннях:</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1"/>
      <w:bookmarkEnd w:id="20"/>
      <w:r w:rsidRPr="00ED7D3B">
        <w:rPr>
          <w:rFonts w:ascii="Times New Roman" w:eastAsia="Times New Roman" w:hAnsi="Times New Roman" w:cs="Times New Roman"/>
          <w:color w:val="333333"/>
          <w:sz w:val="24"/>
          <w:szCs w:val="24"/>
          <w:lang w:eastAsia="ru-RU"/>
        </w:rPr>
        <w:t>1) епідеміологічний нагляд за АМР - систематичний постійний процес збору та аналізу даних для кількісної оцінки поширеності/розповсюдженості АМР та її динаміки в часі;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2"/>
      <w:bookmarkEnd w:id="21"/>
      <w:r w:rsidRPr="00ED7D3B">
        <w:rPr>
          <w:rFonts w:ascii="Times New Roman" w:eastAsia="Times New Roman" w:hAnsi="Times New Roman" w:cs="Times New Roman"/>
          <w:color w:val="333333"/>
          <w:sz w:val="24"/>
          <w:szCs w:val="24"/>
          <w:lang w:eastAsia="ru-RU"/>
        </w:rPr>
        <w:t>2) дозорний епідеміологічний нагляд за АМР інвазивних патогенів (далі - ДЕН) - система отримання, аналізу та інтерпретації даних щодо розповсюдженості мікроорганізмів з АМР із визначеного числа ЗОЗ;</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3"/>
      <w:bookmarkEnd w:id="22"/>
      <w:r w:rsidRPr="00ED7D3B">
        <w:rPr>
          <w:rFonts w:ascii="Times New Roman" w:eastAsia="Times New Roman" w:hAnsi="Times New Roman" w:cs="Times New Roman"/>
          <w:color w:val="333333"/>
          <w:sz w:val="24"/>
          <w:szCs w:val="24"/>
          <w:lang w:eastAsia="ru-RU"/>
        </w:rPr>
        <w:t>3) формуляр антимікробних препаратів - перелік препаратів, що носить обмежувальний характер та затверджений для використання уповноваженими особами в конкретному ЗОЗ.</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4"/>
      <w:bookmarkEnd w:id="23"/>
      <w:r w:rsidRPr="00ED7D3B">
        <w:rPr>
          <w:rFonts w:ascii="Times New Roman" w:eastAsia="Times New Roman" w:hAnsi="Times New Roman" w:cs="Times New Roman"/>
          <w:color w:val="333333"/>
          <w:sz w:val="24"/>
          <w:szCs w:val="24"/>
          <w:lang w:eastAsia="ru-RU"/>
        </w:rPr>
        <w:t>Інші терміни у цьому Порядку вживаються у значеннях, наведених в Законах України </w:t>
      </w:r>
      <w:hyperlink r:id="rId8" w:tgtFrame="_blank" w:history="1">
        <w:r w:rsidRPr="00ED7D3B">
          <w:rPr>
            <w:rFonts w:ascii="Times New Roman" w:eastAsia="Times New Roman" w:hAnsi="Times New Roman" w:cs="Times New Roman"/>
            <w:color w:val="000099"/>
            <w:sz w:val="24"/>
            <w:szCs w:val="24"/>
            <w:u w:val="single"/>
            <w:lang w:eastAsia="ru-RU"/>
          </w:rPr>
          <w:t>«Основи законодавства України про охорону здоров’я»</w:t>
        </w:r>
      </w:hyperlink>
      <w:r w:rsidRPr="00ED7D3B">
        <w:rPr>
          <w:rFonts w:ascii="Times New Roman" w:eastAsia="Times New Roman" w:hAnsi="Times New Roman" w:cs="Times New Roman"/>
          <w:color w:val="333333"/>
          <w:sz w:val="24"/>
          <w:szCs w:val="24"/>
          <w:lang w:eastAsia="ru-RU"/>
        </w:rPr>
        <w:t>, </w:t>
      </w:r>
      <w:hyperlink r:id="rId9" w:tgtFrame="_blank" w:history="1">
        <w:r w:rsidRPr="00ED7D3B">
          <w:rPr>
            <w:rFonts w:ascii="Times New Roman" w:eastAsia="Times New Roman" w:hAnsi="Times New Roman" w:cs="Times New Roman"/>
            <w:color w:val="000099"/>
            <w:sz w:val="24"/>
            <w:szCs w:val="24"/>
            <w:u w:val="single"/>
            <w:lang w:eastAsia="ru-RU"/>
          </w:rPr>
          <w:t>«Про захист населення від інфекційних хвороб»</w:t>
        </w:r>
      </w:hyperlink>
      <w:r w:rsidRPr="00ED7D3B">
        <w:rPr>
          <w:rFonts w:ascii="Times New Roman" w:eastAsia="Times New Roman" w:hAnsi="Times New Roman" w:cs="Times New Roman"/>
          <w:color w:val="333333"/>
          <w:sz w:val="24"/>
          <w:szCs w:val="24"/>
          <w:lang w:eastAsia="ru-RU"/>
        </w:rPr>
        <w:t> та інших нормативно-правових актах у сфері охорони здоров’я та епідеміологічного нагляду (спостереження).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5"/>
      <w:bookmarkEnd w:id="24"/>
      <w:r w:rsidRPr="00ED7D3B">
        <w:rPr>
          <w:rFonts w:ascii="Times New Roman" w:eastAsia="Times New Roman" w:hAnsi="Times New Roman" w:cs="Times New Roman"/>
          <w:color w:val="333333"/>
          <w:sz w:val="24"/>
          <w:szCs w:val="24"/>
          <w:lang w:eastAsia="ru-RU"/>
        </w:rPr>
        <w:t xml:space="preserve">4. Метою проведення ДЕН є отримання достовірних даних про поширеність/розповсюдженість мікроорганізмів з АМР в Україні з метою їх аналізу, прогнозування в динаміці та розроблення науково обґрунтованих рекомендацій для прийняття рішень у галузі використання протимікробних препаратів, розробки і впровадження більш ефективних підходів до лікування інфекційних хвороб, стримування </w:t>
      </w:r>
      <w:r w:rsidRPr="00ED7D3B">
        <w:rPr>
          <w:rFonts w:ascii="Times New Roman" w:eastAsia="Times New Roman" w:hAnsi="Times New Roman" w:cs="Times New Roman"/>
          <w:color w:val="333333"/>
          <w:sz w:val="24"/>
          <w:szCs w:val="24"/>
          <w:lang w:eastAsia="ru-RU"/>
        </w:rPr>
        <w:lastRenderedPageBreak/>
        <w:t>появи і поширення АМР на локальному, регіональному, національному та міжнародному рівнях.</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6"/>
      <w:bookmarkEnd w:id="25"/>
      <w:r w:rsidRPr="00ED7D3B">
        <w:rPr>
          <w:rFonts w:ascii="Times New Roman" w:eastAsia="Times New Roman" w:hAnsi="Times New Roman" w:cs="Times New Roman"/>
          <w:color w:val="333333"/>
          <w:sz w:val="24"/>
          <w:szCs w:val="24"/>
          <w:lang w:eastAsia="ru-RU"/>
        </w:rPr>
        <w:t>5. Система ДЕН базується на плановому зборі лабораторних даних про виділення пріоритетних інвазивних патогенів (які мають клінічне значення та є важливими для громадського здоров’я) та результатах їх чутливості до певного спектру протимікробних препаратів і є складовою частиною системи профілактики інфекцій та інфекційного контролю.</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7"/>
      <w:bookmarkEnd w:id="26"/>
      <w:r w:rsidRPr="00ED7D3B">
        <w:rPr>
          <w:rFonts w:ascii="Times New Roman" w:eastAsia="Times New Roman" w:hAnsi="Times New Roman" w:cs="Times New Roman"/>
          <w:color w:val="333333"/>
          <w:sz w:val="24"/>
          <w:szCs w:val="24"/>
          <w:lang w:eastAsia="ru-RU"/>
        </w:rPr>
        <w:t>6. Ефективність ДЕН, залежить від:</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8"/>
      <w:bookmarkEnd w:id="27"/>
      <w:r w:rsidRPr="00ED7D3B">
        <w:rPr>
          <w:rFonts w:ascii="Times New Roman" w:eastAsia="Times New Roman" w:hAnsi="Times New Roman" w:cs="Times New Roman"/>
          <w:color w:val="333333"/>
          <w:sz w:val="24"/>
          <w:szCs w:val="24"/>
          <w:lang w:eastAsia="ru-RU"/>
        </w:rPr>
        <w:t>1) отримання якісних біологічних зразків від пацієнтів із сепсисом і менінгітом;</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9"/>
      <w:bookmarkEnd w:id="28"/>
      <w:r w:rsidRPr="00ED7D3B">
        <w:rPr>
          <w:rFonts w:ascii="Times New Roman" w:eastAsia="Times New Roman" w:hAnsi="Times New Roman" w:cs="Times New Roman"/>
          <w:color w:val="333333"/>
          <w:sz w:val="24"/>
          <w:szCs w:val="24"/>
          <w:lang w:eastAsia="ru-RU"/>
        </w:rPr>
        <w:t>2) успішного виділення та ідентифікації збудника;</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0"/>
      <w:bookmarkEnd w:id="29"/>
      <w:r w:rsidRPr="00ED7D3B">
        <w:rPr>
          <w:rFonts w:ascii="Times New Roman" w:eastAsia="Times New Roman" w:hAnsi="Times New Roman" w:cs="Times New Roman"/>
          <w:color w:val="333333"/>
          <w:sz w:val="24"/>
          <w:szCs w:val="24"/>
          <w:lang w:eastAsia="ru-RU"/>
        </w:rPr>
        <w:t>3) правильності визначення чутливості до антимікробних препаратів;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1"/>
      <w:bookmarkEnd w:id="30"/>
      <w:r w:rsidRPr="00ED7D3B">
        <w:rPr>
          <w:rFonts w:ascii="Times New Roman" w:eastAsia="Times New Roman" w:hAnsi="Times New Roman" w:cs="Times New Roman"/>
          <w:color w:val="333333"/>
          <w:sz w:val="24"/>
          <w:szCs w:val="24"/>
          <w:lang w:eastAsia="ru-RU"/>
        </w:rPr>
        <w:t>4) якісного збору, верифікації і аналізу даних епідеміологічного нагляду;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2"/>
      <w:bookmarkEnd w:id="31"/>
      <w:r w:rsidRPr="00ED7D3B">
        <w:rPr>
          <w:rFonts w:ascii="Times New Roman" w:eastAsia="Times New Roman" w:hAnsi="Times New Roman" w:cs="Times New Roman"/>
          <w:color w:val="333333"/>
          <w:sz w:val="24"/>
          <w:szCs w:val="24"/>
          <w:lang w:eastAsia="ru-RU"/>
        </w:rPr>
        <w:t>5) своєчасного використання отриманої інформації для впровадження практичних заходів.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3"/>
      <w:bookmarkEnd w:id="32"/>
      <w:r w:rsidRPr="00ED7D3B">
        <w:rPr>
          <w:rFonts w:ascii="Times New Roman" w:eastAsia="Times New Roman" w:hAnsi="Times New Roman" w:cs="Times New Roman"/>
          <w:color w:val="333333"/>
          <w:sz w:val="24"/>
          <w:szCs w:val="24"/>
          <w:lang w:eastAsia="ru-RU"/>
        </w:rPr>
        <w:t>7. Отримані епідеміологічні дані залежно від рівня та характеру резистентності повинні використовуватися для: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4"/>
      <w:bookmarkEnd w:id="33"/>
      <w:r w:rsidRPr="00ED7D3B">
        <w:rPr>
          <w:rFonts w:ascii="Times New Roman" w:eastAsia="Times New Roman" w:hAnsi="Times New Roman" w:cs="Times New Roman"/>
          <w:color w:val="333333"/>
          <w:sz w:val="24"/>
          <w:szCs w:val="24"/>
          <w:lang w:eastAsia="ru-RU"/>
        </w:rPr>
        <w:t>1) оцінки часових тенденцій, прогнозування ймовірності виникнення і поширення АМР, з урахуванням її механізмів, шляхів передавання, видової належності мікроорганізмів з АМР, нозологічних форм інфекційних хвороб, викликаних ними, факторів ризику і характеристик пацієнтів, що сприяють виникненню інфекційних хвороб, які викликані мікроорганізмами з АМР, наслідків їх для пацієнта і системи охорони здоров’я (наприклад, неефективність терапії, подовження термінів госпіталізації, підвищення вартості лікування);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5"/>
      <w:bookmarkEnd w:id="34"/>
      <w:r w:rsidRPr="00ED7D3B">
        <w:rPr>
          <w:rFonts w:ascii="Times New Roman" w:eastAsia="Times New Roman" w:hAnsi="Times New Roman" w:cs="Times New Roman"/>
          <w:color w:val="333333"/>
          <w:sz w:val="24"/>
          <w:szCs w:val="24"/>
          <w:lang w:eastAsia="ru-RU"/>
        </w:rPr>
        <w:t>2) інформування органів системи охорони здоров’я відповідного рівня про ситуацію, яка склалася, з метою розробки стратегії щодо стримування поширення АМР та проведення відповідних заходів;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6"/>
      <w:bookmarkEnd w:id="35"/>
      <w:r w:rsidRPr="00ED7D3B">
        <w:rPr>
          <w:rFonts w:ascii="Times New Roman" w:eastAsia="Times New Roman" w:hAnsi="Times New Roman" w:cs="Times New Roman"/>
          <w:color w:val="333333"/>
          <w:sz w:val="24"/>
          <w:szCs w:val="24"/>
          <w:lang w:eastAsia="ru-RU"/>
        </w:rPr>
        <w:t>3) впровадження в практику роботи мікробіологічних/бактеріологічних лабораторій технологій, процедур і методів для своєчасного та достовірного виявлення мікроорганізмів з АМР;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7"/>
      <w:bookmarkEnd w:id="36"/>
      <w:r w:rsidRPr="00ED7D3B">
        <w:rPr>
          <w:rFonts w:ascii="Times New Roman" w:eastAsia="Times New Roman" w:hAnsi="Times New Roman" w:cs="Times New Roman"/>
          <w:color w:val="333333"/>
          <w:sz w:val="24"/>
          <w:szCs w:val="24"/>
          <w:lang w:eastAsia="ru-RU"/>
        </w:rPr>
        <w:t>4) оновлення рекомендацій з емпіричної антимікробної терапії, зміни стандартів клінічних протоколів;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8"/>
      <w:bookmarkEnd w:id="37"/>
      <w:r w:rsidRPr="00ED7D3B">
        <w:rPr>
          <w:rFonts w:ascii="Times New Roman" w:eastAsia="Times New Roman" w:hAnsi="Times New Roman" w:cs="Times New Roman"/>
          <w:color w:val="333333"/>
          <w:sz w:val="24"/>
          <w:szCs w:val="24"/>
          <w:lang w:eastAsia="ru-RU"/>
        </w:rPr>
        <w:t>5) інтеграції даних до системи епідеміологічного нагляду за стійкістю до протимікробних препаратів в Центральній Азії і Європі (далі - CAESAR) та до системи глобального моніторингу резистентності до антимікробних препаратів (далі - GLASS).</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9"/>
      <w:bookmarkEnd w:id="38"/>
      <w:r w:rsidRPr="00ED7D3B">
        <w:rPr>
          <w:rFonts w:ascii="Times New Roman" w:eastAsia="Times New Roman" w:hAnsi="Times New Roman" w:cs="Times New Roman"/>
          <w:color w:val="333333"/>
          <w:sz w:val="24"/>
          <w:szCs w:val="24"/>
          <w:lang w:eastAsia="ru-RU"/>
        </w:rPr>
        <w:t>Для забезпечення зворотного зв’язку із зацікавленими сторонами, заборонено використовувати дані, які ідентифікують пацієнтів і медичних працівників ЗОЗ.</w:t>
      </w:r>
    </w:p>
    <w:p w:rsidR="00ED7D3B" w:rsidRP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9" w:name="n40"/>
      <w:bookmarkEnd w:id="39"/>
      <w:r w:rsidRPr="00ED7D3B">
        <w:rPr>
          <w:rFonts w:ascii="Times New Roman" w:eastAsia="Times New Roman" w:hAnsi="Times New Roman" w:cs="Times New Roman"/>
          <w:b/>
          <w:bCs/>
          <w:color w:val="333333"/>
          <w:sz w:val="28"/>
          <w:szCs w:val="28"/>
          <w:lang w:eastAsia="ru-RU"/>
        </w:rPr>
        <w:t>II. Організація та проведення дозорного епіднагляду за антимікробною резистентністю інвазивних патогенів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1"/>
      <w:bookmarkEnd w:id="40"/>
      <w:r w:rsidRPr="00ED7D3B">
        <w:rPr>
          <w:rFonts w:ascii="Times New Roman" w:eastAsia="Times New Roman" w:hAnsi="Times New Roman" w:cs="Times New Roman"/>
          <w:color w:val="333333"/>
          <w:sz w:val="24"/>
          <w:szCs w:val="24"/>
          <w:lang w:eastAsia="ru-RU"/>
        </w:rPr>
        <w:t>1. Основним завданням ДЕН є проведення нагляду за окремими патогенами (які мають клінічне значення та є важливими для громадського здоров’я, з визначених біологічних зразків і результатах їх чутливості до певного спектру антимікробних препаратів) та базується на даних рутинного епідеміологічного нагляду за АМР, що проводиться ЗОЗ.</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2"/>
      <w:bookmarkEnd w:id="41"/>
      <w:r w:rsidRPr="00ED7D3B">
        <w:rPr>
          <w:rFonts w:ascii="Times New Roman" w:eastAsia="Times New Roman" w:hAnsi="Times New Roman" w:cs="Times New Roman"/>
          <w:color w:val="333333"/>
          <w:sz w:val="24"/>
          <w:szCs w:val="24"/>
          <w:lang w:eastAsia="ru-RU"/>
        </w:rPr>
        <w:lastRenderedPageBreak/>
        <w:t>2. В ДЕН беруть участь ЗОЗ, що надають вторинну (спеціалізовану) та третинну (високоспеціалізовану) медичну допомогу (далі - дозорні ЗОЗ), де відбираються біологічні зразки для досліджень та самостійні бактеріологічні лабораторії, що здійснюють мікробіологічну діагностику та визначення чутливості до протимікробних препаратів.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3"/>
      <w:bookmarkEnd w:id="42"/>
      <w:r w:rsidRPr="00ED7D3B">
        <w:rPr>
          <w:rFonts w:ascii="Times New Roman" w:eastAsia="Times New Roman" w:hAnsi="Times New Roman" w:cs="Times New Roman"/>
          <w:color w:val="333333"/>
          <w:sz w:val="24"/>
          <w:szCs w:val="24"/>
          <w:lang w:eastAsia="ru-RU"/>
        </w:rPr>
        <w:t>3. Перелік ЗОЗ/лабораторій мережі ДЕН затверджується наказом МОЗ.</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4"/>
      <w:bookmarkEnd w:id="43"/>
      <w:r w:rsidRPr="00ED7D3B">
        <w:rPr>
          <w:rFonts w:ascii="Times New Roman" w:eastAsia="Times New Roman" w:hAnsi="Times New Roman" w:cs="Times New Roman"/>
          <w:color w:val="333333"/>
          <w:sz w:val="24"/>
          <w:szCs w:val="24"/>
          <w:lang w:eastAsia="ru-RU"/>
        </w:rPr>
        <w:t>4. Основні етапи ДЕН: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5"/>
      <w:bookmarkEnd w:id="44"/>
      <w:r w:rsidRPr="00ED7D3B">
        <w:rPr>
          <w:rFonts w:ascii="Times New Roman" w:eastAsia="Times New Roman" w:hAnsi="Times New Roman" w:cs="Times New Roman"/>
          <w:color w:val="333333"/>
          <w:sz w:val="24"/>
          <w:szCs w:val="24"/>
          <w:lang w:eastAsia="ru-RU"/>
        </w:rPr>
        <w:t>1) виявлення та облік пацієнтів, з ознаками сепсису або менінгіту;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6"/>
      <w:bookmarkEnd w:id="45"/>
      <w:r w:rsidRPr="00ED7D3B">
        <w:rPr>
          <w:rFonts w:ascii="Times New Roman" w:eastAsia="Times New Roman" w:hAnsi="Times New Roman" w:cs="Times New Roman"/>
          <w:color w:val="333333"/>
          <w:sz w:val="24"/>
          <w:szCs w:val="24"/>
          <w:lang w:eastAsia="ru-RU"/>
        </w:rPr>
        <w:t>2) відбір зразків крові та/або спинномозкової рідини (далі - СМР) у пацієнтів з ознаками сепсису і менінгіту відповідно. Алгоритм відбору зразків крові та СМР наведений в</w:t>
      </w:r>
      <w:hyperlink r:id="rId10" w:anchor="n104" w:history="1">
        <w:r w:rsidRPr="00ED7D3B">
          <w:rPr>
            <w:rFonts w:ascii="Times New Roman" w:eastAsia="Times New Roman" w:hAnsi="Times New Roman" w:cs="Times New Roman"/>
            <w:color w:val="006600"/>
            <w:sz w:val="24"/>
            <w:szCs w:val="24"/>
            <w:u w:val="single"/>
            <w:lang w:eastAsia="ru-RU"/>
          </w:rPr>
          <w:t> додатку 1 </w:t>
        </w:r>
      </w:hyperlink>
      <w:r w:rsidRPr="00ED7D3B">
        <w:rPr>
          <w:rFonts w:ascii="Times New Roman" w:eastAsia="Times New Roman" w:hAnsi="Times New Roman" w:cs="Times New Roman"/>
          <w:color w:val="333333"/>
          <w:sz w:val="24"/>
          <w:szCs w:val="24"/>
          <w:lang w:eastAsia="ru-RU"/>
        </w:rPr>
        <w:t>до цього Порядку;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7"/>
      <w:bookmarkEnd w:id="46"/>
      <w:r w:rsidRPr="00ED7D3B">
        <w:rPr>
          <w:rFonts w:ascii="Times New Roman" w:eastAsia="Times New Roman" w:hAnsi="Times New Roman" w:cs="Times New Roman"/>
          <w:color w:val="333333"/>
          <w:sz w:val="24"/>
          <w:szCs w:val="24"/>
          <w:lang w:eastAsia="ru-RU"/>
        </w:rPr>
        <w:t>3) оформлення направлення на дослідження із зазначенням відомостей про кожного пацієнта, що включає в себе, крім демографічних даних, клінічну та епідеміологічну інформацію про пацієнтів. Перелік відомостей, які включаються до направлення на дослідження в лабораторію наведені в </w:t>
      </w:r>
      <w:hyperlink r:id="rId11" w:anchor="n131" w:history="1">
        <w:r w:rsidRPr="00ED7D3B">
          <w:rPr>
            <w:rFonts w:ascii="Times New Roman" w:eastAsia="Times New Roman" w:hAnsi="Times New Roman" w:cs="Times New Roman"/>
            <w:color w:val="006600"/>
            <w:sz w:val="24"/>
            <w:szCs w:val="24"/>
            <w:u w:val="single"/>
            <w:lang w:eastAsia="ru-RU"/>
          </w:rPr>
          <w:t>додатку 2</w:t>
        </w:r>
      </w:hyperlink>
      <w:r w:rsidRPr="00ED7D3B">
        <w:rPr>
          <w:rFonts w:ascii="Times New Roman" w:eastAsia="Times New Roman" w:hAnsi="Times New Roman" w:cs="Times New Roman"/>
          <w:color w:val="333333"/>
          <w:sz w:val="24"/>
          <w:szCs w:val="24"/>
          <w:lang w:eastAsia="ru-RU"/>
        </w:rPr>
        <w:t> до цього Порядку;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8"/>
      <w:bookmarkEnd w:id="47"/>
      <w:r w:rsidRPr="00ED7D3B">
        <w:rPr>
          <w:rFonts w:ascii="Times New Roman" w:eastAsia="Times New Roman" w:hAnsi="Times New Roman" w:cs="Times New Roman"/>
          <w:color w:val="333333"/>
          <w:sz w:val="24"/>
          <w:szCs w:val="24"/>
          <w:lang w:eastAsia="ru-RU"/>
        </w:rPr>
        <w:t>4) проведення бактеріологічного дослідження зразків крові та СМР, виділення та ідентифікація збудників;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9"/>
      <w:bookmarkEnd w:id="48"/>
      <w:r w:rsidRPr="00ED7D3B">
        <w:rPr>
          <w:rFonts w:ascii="Times New Roman" w:eastAsia="Times New Roman" w:hAnsi="Times New Roman" w:cs="Times New Roman"/>
          <w:color w:val="333333"/>
          <w:sz w:val="24"/>
          <w:szCs w:val="24"/>
          <w:lang w:eastAsia="ru-RU"/>
        </w:rPr>
        <w:t>5) визначення та оцінка чутливості збудників до протимікробних препаратів, відповідно до видової належності збудника. Комбінації «патоген/джерело/антибіотик» для повідомлення Центру, включаючи мінімальний набір/панель і рекомендації Європейського комітету з тестування чутливості до антимікробних препаратів (далі - EUCAST) для визначення механізмів стійкості наведені в </w:t>
      </w:r>
      <w:hyperlink r:id="rId12" w:anchor="n133" w:history="1">
        <w:r w:rsidRPr="00ED7D3B">
          <w:rPr>
            <w:rFonts w:ascii="Times New Roman" w:eastAsia="Times New Roman" w:hAnsi="Times New Roman" w:cs="Times New Roman"/>
            <w:color w:val="006600"/>
            <w:sz w:val="24"/>
            <w:szCs w:val="24"/>
            <w:u w:val="single"/>
            <w:lang w:eastAsia="ru-RU"/>
          </w:rPr>
          <w:t>додатку 3</w:t>
        </w:r>
      </w:hyperlink>
      <w:r w:rsidRPr="00ED7D3B">
        <w:rPr>
          <w:rFonts w:ascii="Times New Roman" w:eastAsia="Times New Roman" w:hAnsi="Times New Roman" w:cs="Times New Roman"/>
          <w:color w:val="333333"/>
          <w:sz w:val="24"/>
          <w:szCs w:val="24"/>
          <w:lang w:eastAsia="ru-RU"/>
        </w:rPr>
        <w:t> до цього Порядку;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0"/>
      <w:bookmarkEnd w:id="49"/>
      <w:r w:rsidRPr="00ED7D3B">
        <w:rPr>
          <w:rFonts w:ascii="Times New Roman" w:eastAsia="Times New Roman" w:hAnsi="Times New Roman" w:cs="Times New Roman"/>
          <w:color w:val="333333"/>
          <w:sz w:val="24"/>
          <w:szCs w:val="24"/>
          <w:lang w:eastAsia="ru-RU"/>
        </w:rPr>
        <w:t>6) повідомлення результатів лікуючому лікарю;</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1"/>
      <w:bookmarkEnd w:id="50"/>
      <w:r w:rsidRPr="00ED7D3B">
        <w:rPr>
          <w:rFonts w:ascii="Times New Roman" w:eastAsia="Times New Roman" w:hAnsi="Times New Roman" w:cs="Times New Roman"/>
          <w:color w:val="333333"/>
          <w:sz w:val="24"/>
          <w:szCs w:val="24"/>
          <w:lang w:eastAsia="ru-RU"/>
        </w:rPr>
        <w:t>7) плановий збір даних про виділення пріоритетних патогенів з визначених біологічних рідин (кров, СМР), результатів їх чутливості до визначеного переліку протимікробних препаратів та вихідної інформації про пацієнтів;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2"/>
      <w:bookmarkEnd w:id="51"/>
      <w:r w:rsidRPr="00ED7D3B">
        <w:rPr>
          <w:rFonts w:ascii="Times New Roman" w:eastAsia="Times New Roman" w:hAnsi="Times New Roman" w:cs="Times New Roman"/>
          <w:color w:val="333333"/>
          <w:sz w:val="24"/>
          <w:szCs w:val="24"/>
          <w:lang w:eastAsia="ru-RU"/>
        </w:rPr>
        <w:t>8) перевірка та направлення отриманих даних до Центру щоквартально. Перевірка даних включає перевірку дотримання вимог послідовності і достовірності мікробіологічного дослідження, узгодженості з методами визначення чутливості до протимікробних препаратів і клінічно значимими граничними значеннями категорій чутливості (чутливий, проміжний, стійкий) відповідно до рекомендацій EUCAST;</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3"/>
      <w:bookmarkEnd w:id="52"/>
      <w:r w:rsidRPr="00ED7D3B">
        <w:rPr>
          <w:rFonts w:ascii="Times New Roman" w:eastAsia="Times New Roman" w:hAnsi="Times New Roman" w:cs="Times New Roman"/>
          <w:color w:val="333333"/>
          <w:sz w:val="24"/>
          <w:szCs w:val="24"/>
          <w:lang w:eastAsia="ru-RU"/>
        </w:rPr>
        <w:t>9) інтеграція до CAESAR і GLASS;</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4"/>
      <w:bookmarkEnd w:id="53"/>
      <w:r w:rsidRPr="00ED7D3B">
        <w:rPr>
          <w:rFonts w:ascii="Times New Roman" w:eastAsia="Times New Roman" w:hAnsi="Times New Roman" w:cs="Times New Roman"/>
          <w:color w:val="333333"/>
          <w:sz w:val="24"/>
          <w:szCs w:val="24"/>
          <w:lang w:eastAsia="ru-RU"/>
        </w:rPr>
        <w:t>10) підготовка інформаційно-аналітичних матеріалів і публікацій, які поширюються серед медичних працівників ЗОЗ та фізичних осіб-підприємців, які одержали ліцензію на право провадження господарської діяльності з медичної практики, а також серед закладів громадського здоров’я, залучених до ДЕН;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5"/>
      <w:bookmarkEnd w:id="54"/>
      <w:r w:rsidRPr="00ED7D3B">
        <w:rPr>
          <w:rFonts w:ascii="Times New Roman" w:eastAsia="Times New Roman" w:hAnsi="Times New Roman" w:cs="Times New Roman"/>
          <w:color w:val="333333"/>
          <w:sz w:val="24"/>
          <w:szCs w:val="24"/>
          <w:lang w:eastAsia="ru-RU"/>
        </w:rPr>
        <w:t>11) підготовка Центром щорічного звіту з результатами проведеного ДЕН і передавання його до МОЗ не пізніше 01 квітня року, що слідує за дослідним.</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6"/>
      <w:bookmarkEnd w:id="55"/>
      <w:r w:rsidRPr="00ED7D3B">
        <w:rPr>
          <w:rFonts w:ascii="Times New Roman" w:eastAsia="Times New Roman" w:hAnsi="Times New Roman" w:cs="Times New Roman"/>
          <w:color w:val="333333"/>
          <w:sz w:val="24"/>
          <w:szCs w:val="24"/>
          <w:lang w:eastAsia="ru-RU"/>
        </w:rPr>
        <w:t>5. Керівники ЗОЗ/лабораторій, залучених до ДЕН, забезпечують:</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7"/>
      <w:bookmarkEnd w:id="56"/>
      <w:r w:rsidRPr="00ED7D3B">
        <w:rPr>
          <w:rFonts w:ascii="Times New Roman" w:eastAsia="Times New Roman" w:hAnsi="Times New Roman" w:cs="Times New Roman"/>
          <w:color w:val="333333"/>
          <w:sz w:val="24"/>
          <w:szCs w:val="24"/>
          <w:lang w:eastAsia="ru-RU"/>
        </w:rPr>
        <w:t>1) призначення відповідальних осіб (координаторів) - медичних працівників, відповідальних за здійснення ДЕН;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8"/>
      <w:bookmarkEnd w:id="57"/>
      <w:r w:rsidRPr="00ED7D3B">
        <w:rPr>
          <w:rFonts w:ascii="Times New Roman" w:eastAsia="Times New Roman" w:hAnsi="Times New Roman" w:cs="Times New Roman"/>
          <w:color w:val="333333"/>
          <w:sz w:val="24"/>
          <w:szCs w:val="24"/>
          <w:lang w:eastAsia="ru-RU"/>
        </w:rPr>
        <w:t>2) організацію відбору зразків крові та/або СМР у пацієнтів з ознаками сепсису або менінгіту відповідно;</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59"/>
      <w:bookmarkEnd w:id="58"/>
      <w:r w:rsidRPr="00ED7D3B">
        <w:rPr>
          <w:rFonts w:ascii="Times New Roman" w:eastAsia="Times New Roman" w:hAnsi="Times New Roman" w:cs="Times New Roman"/>
          <w:color w:val="333333"/>
          <w:sz w:val="24"/>
          <w:szCs w:val="24"/>
          <w:lang w:eastAsia="ru-RU"/>
        </w:rPr>
        <w:lastRenderedPageBreak/>
        <w:t>3) забезпечення направлення відібраних біологічних зразків на дослідження у лабораторію з дотриманням вимог до зберігання, пакування, транспортування та оформлення супровідної документації;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0"/>
      <w:bookmarkEnd w:id="59"/>
      <w:r w:rsidRPr="00ED7D3B">
        <w:rPr>
          <w:rFonts w:ascii="Times New Roman" w:eastAsia="Times New Roman" w:hAnsi="Times New Roman" w:cs="Times New Roman"/>
          <w:color w:val="333333"/>
          <w:sz w:val="24"/>
          <w:szCs w:val="24"/>
          <w:lang w:eastAsia="ru-RU"/>
        </w:rPr>
        <w:t>4) постачання лабораторій необхідним переліком діагностичних препаратів та витратних матеріалів гарантованої якості для виділення, ідентифікації збудників та визначення чутливості до протимікробних препаратів;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1"/>
      <w:bookmarkEnd w:id="60"/>
      <w:r w:rsidRPr="00ED7D3B">
        <w:rPr>
          <w:rFonts w:ascii="Times New Roman" w:eastAsia="Times New Roman" w:hAnsi="Times New Roman" w:cs="Times New Roman"/>
          <w:color w:val="333333"/>
          <w:sz w:val="24"/>
          <w:szCs w:val="24"/>
          <w:lang w:eastAsia="ru-RU"/>
        </w:rPr>
        <w:t>5) направлення ізолятів збудників, які виділені вперше, зрідка зустрічаються або мають незвичайні механізми резистентності, в Центр;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2"/>
      <w:bookmarkEnd w:id="61"/>
      <w:r w:rsidRPr="00ED7D3B">
        <w:rPr>
          <w:rFonts w:ascii="Times New Roman" w:eastAsia="Times New Roman" w:hAnsi="Times New Roman" w:cs="Times New Roman"/>
          <w:color w:val="333333"/>
          <w:sz w:val="24"/>
          <w:szCs w:val="24"/>
          <w:lang w:eastAsia="ru-RU"/>
        </w:rPr>
        <w:t>6) зберігання усіх штамів інвазивних патогенів протягом одного року;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3"/>
      <w:bookmarkEnd w:id="62"/>
      <w:r w:rsidRPr="00ED7D3B">
        <w:rPr>
          <w:rFonts w:ascii="Times New Roman" w:eastAsia="Times New Roman" w:hAnsi="Times New Roman" w:cs="Times New Roman"/>
          <w:color w:val="333333"/>
          <w:sz w:val="24"/>
          <w:szCs w:val="24"/>
          <w:lang w:eastAsia="ru-RU"/>
        </w:rPr>
        <w:t>7) щоквартальне направлення даних щодо мікроорганізмів з АМР до Центру.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4"/>
      <w:bookmarkEnd w:id="63"/>
      <w:r w:rsidRPr="00ED7D3B">
        <w:rPr>
          <w:rFonts w:ascii="Times New Roman" w:eastAsia="Times New Roman" w:hAnsi="Times New Roman" w:cs="Times New Roman"/>
          <w:color w:val="333333"/>
          <w:sz w:val="24"/>
          <w:szCs w:val="24"/>
          <w:lang w:eastAsia="ru-RU"/>
        </w:rPr>
        <w:t>6. Вимоги до лабораторій, що виконують дослідження для потреб ДЕН: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5"/>
      <w:bookmarkEnd w:id="64"/>
      <w:r w:rsidRPr="00ED7D3B">
        <w:rPr>
          <w:rFonts w:ascii="Times New Roman" w:eastAsia="Times New Roman" w:hAnsi="Times New Roman" w:cs="Times New Roman"/>
          <w:color w:val="333333"/>
          <w:sz w:val="24"/>
          <w:szCs w:val="24"/>
          <w:lang w:eastAsia="ru-RU"/>
        </w:rPr>
        <w:t>1) наявність в лабораторії діючої системи управління якістю (наприклад, сертифікат відповідності ДСТУ ISO 9001:2015 «Системи управління якістю. Вимоги»);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6"/>
      <w:bookmarkEnd w:id="65"/>
      <w:r w:rsidRPr="00ED7D3B">
        <w:rPr>
          <w:rFonts w:ascii="Times New Roman" w:eastAsia="Times New Roman" w:hAnsi="Times New Roman" w:cs="Times New Roman"/>
          <w:color w:val="333333"/>
          <w:sz w:val="24"/>
          <w:szCs w:val="24"/>
          <w:lang w:eastAsia="ru-RU"/>
        </w:rPr>
        <w:t>2) відповідність вимогам безпеки щодо роботи із збудниками 3-4 групи патогенності;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7"/>
      <w:bookmarkEnd w:id="66"/>
      <w:r w:rsidRPr="00ED7D3B">
        <w:rPr>
          <w:rFonts w:ascii="Times New Roman" w:eastAsia="Times New Roman" w:hAnsi="Times New Roman" w:cs="Times New Roman"/>
          <w:color w:val="333333"/>
          <w:sz w:val="24"/>
          <w:szCs w:val="24"/>
          <w:lang w:eastAsia="ru-RU"/>
        </w:rPr>
        <w:t>3) наявність лабораторного персоналу, який володіє знаннями та навиками, необхідними для виконання поставлених завдань - методи виділення та ідентифікації мікроорганізмів, визначення їх чутливості до антибіотиків;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8"/>
      <w:bookmarkEnd w:id="67"/>
      <w:r w:rsidRPr="00ED7D3B">
        <w:rPr>
          <w:rFonts w:ascii="Times New Roman" w:eastAsia="Times New Roman" w:hAnsi="Times New Roman" w:cs="Times New Roman"/>
          <w:color w:val="333333"/>
          <w:sz w:val="24"/>
          <w:szCs w:val="24"/>
          <w:lang w:eastAsia="ru-RU"/>
        </w:rPr>
        <w:t>4) використання в поточній роботі стандартних операційних процедур (далі - СОП), які базуються на актуальних версіях методології EUCAST (щодо визначення чутливості бактерій до антибіотиків, інтерпретації значень чутливості, визначення механізмів резистентності, поточного та розширеного контролю якості);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69"/>
      <w:bookmarkEnd w:id="68"/>
      <w:r w:rsidRPr="00ED7D3B">
        <w:rPr>
          <w:rFonts w:ascii="Times New Roman" w:eastAsia="Times New Roman" w:hAnsi="Times New Roman" w:cs="Times New Roman"/>
          <w:color w:val="333333"/>
          <w:sz w:val="24"/>
          <w:szCs w:val="24"/>
          <w:lang w:eastAsia="ru-RU"/>
        </w:rPr>
        <w:t>5) використання, при наявності, мікробіологічних аналізаторів для дослідження гемокультур та/або для ідентифікації ізолятів і визначення чутливості до протимікробних препаратів;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0"/>
      <w:bookmarkEnd w:id="69"/>
      <w:r w:rsidRPr="00ED7D3B">
        <w:rPr>
          <w:rFonts w:ascii="Times New Roman" w:eastAsia="Times New Roman" w:hAnsi="Times New Roman" w:cs="Times New Roman"/>
          <w:color w:val="333333"/>
          <w:sz w:val="24"/>
          <w:szCs w:val="24"/>
          <w:lang w:eastAsia="ru-RU"/>
        </w:rPr>
        <w:t>6) щорічна участь в зовнішньому контролі якості досліджень;</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1"/>
      <w:bookmarkEnd w:id="70"/>
      <w:r w:rsidRPr="00ED7D3B">
        <w:rPr>
          <w:rFonts w:ascii="Times New Roman" w:eastAsia="Times New Roman" w:hAnsi="Times New Roman" w:cs="Times New Roman"/>
          <w:color w:val="333333"/>
          <w:sz w:val="24"/>
          <w:szCs w:val="24"/>
          <w:lang w:eastAsia="ru-RU"/>
        </w:rPr>
        <w:t>7) наявність комп’ютерної техніки та доступ до мережі Інтернет;</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2"/>
      <w:bookmarkEnd w:id="71"/>
      <w:r w:rsidRPr="00ED7D3B">
        <w:rPr>
          <w:rFonts w:ascii="Times New Roman" w:eastAsia="Times New Roman" w:hAnsi="Times New Roman" w:cs="Times New Roman"/>
          <w:color w:val="333333"/>
          <w:sz w:val="24"/>
          <w:szCs w:val="24"/>
          <w:lang w:eastAsia="ru-RU"/>
        </w:rPr>
        <w:t>8) використання в поточній роботі WHONET.</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3"/>
      <w:bookmarkEnd w:id="72"/>
      <w:r w:rsidRPr="00ED7D3B">
        <w:rPr>
          <w:rFonts w:ascii="Times New Roman" w:eastAsia="Times New Roman" w:hAnsi="Times New Roman" w:cs="Times New Roman"/>
          <w:color w:val="333333"/>
          <w:sz w:val="24"/>
          <w:szCs w:val="24"/>
          <w:lang w:eastAsia="ru-RU"/>
        </w:rPr>
        <w:t>7. З огляду на типологію даних ДЕН за стійкістю до протимікробних препаратів (які відносяться до лабораторних ізолятів, а не до випадків хвороби), застосовуються такі критерії для випадку стійкості до протимікробних препаратів: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4"/>
      <w:bookmarkEnd w:id="73"/>
      <w:r w:rsidRPr="00ED7D3B">
        <w:rPr>
          <w:rFonts w:ascii="Times New Roman" w:eastAsia="Times New Roman" w:hAnsi="Times New Roman" w:cs="Times New Roman"/>
          <w:color w:val="333333"/>
          <w:sz w:val="24"/>
          <w:szCs w:val="24"/>
          <w:lang w:eastAsia="ru-RU"/>
        </w:rPr>
        <w:t>1) до видів мікроорганізмів, що підлягають ДЕН, відносяться: Streptococcus pneumoniae (далі - STRPNE), Staphylococcus aureus (далі - STAAUR), Salmonella spp. (далі - SALSPP), Enterococcus faecalis (далі - ENCFAE), Enterococcus faecium (далі - ENCFAI), Escherichia coli (далі - ESCCOL), Klebsiella pneumoniae (далі - KLEPNE), Pseudomonas aeruginosa (далі - PSEAER), Acinetobacter spp. (далі - ACISPP);</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5"/>
      <w:bookmarkEnd w:id="74"/>
      <w:r w:rsidRPr="00ED7D3B">
        <w:rPr>
          <w:rFonts w:ascii="Times New Roman" w:eastAsia="Times New Roman" w:hAnsi="Times New Roman" w:cs="Times New Roman"/>
          <w:color w:val="333333"/>
          <w:sz w:val="24"/>
          <w:szCs w:val="24"/>
          <w:lang w:eastAsia="ru-RU"/>
        </w:rPr>
        <w:t>2) ДЕН підлягають всі ізоляти, виділені з крові (STRPNE, STAAUR, ENCFAE, ENCFAI, ESCCOL, KLEPNE, PSEAER, ACISPP) та/або СМР (STRPNE, ESCCOL, KLEPNE, PSEAER, ACISPP), чутливість яких досліджувалася;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6"/>
      <w:bookmarkEnd w:id="75"/>
      <w:r w:rsidRPr="00ED7D3B">
        <w:rPr>
          <w:rFonts w:ascii="Times New Roman" w:eastAsia="Times New Roman" w:hAnsi="Times New Roman" w:cs="Times New Roman"/>
          <w:color w:val="333333"/>
          <w:sz w:val="24"/>
          <w:szCs w:val="24"/>
          <w:lang w:eastAsia="ru-RU"/>
        </w:rPr>
        <w:t>3) враховується тільки перший за датою отримання зразок і джерело ізоляту для кожного виду (повторні результати, отримані від одного і того ж пацієнта, не враховуються);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7"/>
      <w:bookmarkEnd w:id="76"/>
      <w:r w:rsidRPr="00ED7D3B">
        <w:rPr>
          <w:rFonts w:ascii="Times New Roman" w:eastAsia="Times New Roman" w:hAnsi="Times New Roman" w:cs="Times New Roman"/>
          <w:color w:val="333333"/>
          <w:sz w:val="24"/>
          <w:szCs w:val="24"/>
          <w:lang w:eastAsia="ru-RU"/>
        </w:rPr>
        <w:t>4) комбінації «патоген/джерело/препарат» для повідомлення, містять мінімальний обов’язковий набір антимікробних препаратів та наведені в додатку 3 до цього Порядку;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8"/>
      <w:bookmarkEnd w:id="77"/>
      <w:r w:rsidRPr="00ED7D3B">
        <w:rPr>
          <w:rFonts w:ascii="Times New Roman" w:eastAsia="Times New Roman" w:hAnsi="Times New Roman" w:cs="Times New Roman"/>
          <w:color w:val="333333"/>
          <w:sz w:val="24"/>
          <w:szCs w:val="24"/>
          <w:lang w:eastAsia="ru-RU"/>
        </w:rPr>
        <w:lastRenderedPageBreak/>
        <w:t>5) визначення чутливості та механізмів стійкості проводяться відповідно до методології EUCAST.</w:t>
      </w:r>
    </w:p>
    <w:p w:rsidR="00ED7D3B" w:rsidRP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78" w:name="n79"/>
      <w:bookmarkEnd w:id="78"/>
      <w:r w:rsidRPr="00ED7D3B">
        <w:rPr>
          <w:rFonts w:ascii="Times New Roman" w:eastAsia="Times New Roman" w:hAnsi="Times New Roman" w:cs="Times New Roman"/>
          <w:b/>
          <w:bCs/>
          <w:color w:val="333333"/>
          <w:sz w:val="28"/>
          <w:szCs w:val="28"/>
          <w:lang w:eastAsia="ru-RU"/>
        </w:rPr>
        <w:t>III. Достовірність даних та рівні доказовості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0"/>
      <w:bookmarkEnd w:id="79"/>
      <w:r w:rsidRPr="00ED7D3B">
        <w:rPr>
          <w:rFonts w:ascii="Times New Roman" w:eastAsia="Times New Roman" w:hAnsi="Times New Roman" w:cs="Times New Roman"/>
          <w:color w:val="333333"/>
          <w:sz w:val="24"/>
          <w:szCs w:val="24"/>
          <w:lang w:eastAsia="ru-RU"/>
        </w:rPr>
        <w:t>1. Вибірка для включення в систему ДЕН повинна складатися з різних груп пацієнтів (наприклад, діти, пацієнти відділень анестезіології, реанімації та інтенсивної терапії або пацієнти відділень нейрохірургії), хворих на різні інфекційні захворювання (наприклад, негоспітальний і пов’язаний з наданням медичної допомоги сепсис), які представлені в співвідношеннях, що характерні для загальної популяції.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1"/>
      <w:bookmarkEnd w:id="80"/>
      <w:r w:rsidRPr="00ED7D3B">
        <w:rPr>
          <w:rFonts w:ascii="Times New Roman" w:eastAsia="Times New Roman" w:hAnsi="Times New Roman" w:cs="Times New Roman"/>
          <w:color w:val="333333"/>
          <w:sz w:val="24"/>
          <w:szCs w:val="24"/>
          <w:lang w:eastAsia="ru-RU"/>
        </w:rPr>
        <w:t>2. Достовірність даних може знижуватися на різних етапах процесу їх формування, таких як:</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2"/>
      <w:bookmarkEnd w:id="81"/>
      <w:r w:rsidRPr="00ED7D3B">
        <w:rPr>
          <w:rFonts w:ascii="Times New Roman" w:eastAsia="Times New Roman" w:hAnsi="Times New Roman" w:cs="Times New Roman"/>
          <w:color w:val="333333"/>
          <w:sz w:val="24"/>
          <w:szCs w:val="24"/>
          <w:lang w:eastAsia="ru-RU"/>
        </w:rPr>
        <w:t>1) вибір лабораторій, що беруть участь в ДЕН;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3"/>
      <w:bookmarkEnd w:id="82"/>
      <w:r w:rsidRPr="00ED7D3B">
        <w:rPr>
          <w:rFonts w:ascii="Times New Roman" w:eastAsia="Times New Roman" w:hAnsi="Times New Roman" w:cs="Times New Roman"/>
          <w:color w:val="333333"/>
          <w:sz w:val="24"/>
          <w:szCs w:val="24"/>
          <w:lang w:eastAsia="ru-RU"/>
        </w:rPr>
        <w:t>2) відбір пацієнтів для отримання гемокультур;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4"/>
      <w:bookmarkEnd w:id="83"/>
      <w:r w:rsidRPr="00ED7D3B">
        <w:rPr>
          <w:rFonts w:ascii="Times New Roman" w:eastAsia="Times New Roman" w:hAnsi="Times New Roman" w:cs="Times New Roman"/>
          <w:color w:val="333333"/>
          <w:sz w:val="24"/>
          <w:szCs w:val="24"/>
          <w:lang w:eastAsia="ru-RU"/>
        </w:rPr>
        <w:t>3) транспортування і обробка зразків в лабораторії;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5"/>
      <w:bookmarkEnd w:id="84"/>
      <w:r w:rsidRPr="00ED7D3B">
        <w:rPr>
          <w:rFonts w:ascii="Times New Roman" w:eastAsia="Times New Roman" w:hAnsi="Times New Roman" w:cs="Times New Roman"/>
          <w:color w:val="333333"/>
          <w:sz w:val="24"/>
          <w:szCs w:val="24"/>
          <w:lang w:eastAsia="ru-RU"/>
        </w:rPr>
        <w:t>4) застосування різних методик визначення чутливості до протимікробних препаратів;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6"/>
      <w:bookmarkEnd w:id="85"/>
      <w:r w:rsidRPr="00ED7D3B">
        <w:rPr>
          <w:rFonts w:ascii="Times New Roman" w:eastAsia="Times New Roman" w:hAnsi="Times New Roman" w:cs="Times New Roman"/>
          <w:color w:val="333333"/>
          <w:sz w:val="24"/>
          <w:szCs w:val="24"/>
          <w:lang w:eastAsia="ru-RU"/>
        </w:rPr>
        <w:t>5) узагальнення і аналіз даних.</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7"/>
      <w:bookmarkEnd w:id="86"/>
      <w:r w:rsidRPr="00ED7D3B">
        <w:rPr>
          <w:rFonts w:ascii="Times New Roman" w:eastAsia="Times New Roman" w:hAnsi="Times New Roman" w:cs="Times New Roman"/>
          <w:color w:val="333333"/>
          <w:sz w:val="24"/>
          <w:szCs w:val="24"/>
          <w:lang w:eastAsia="ru-RU"/>
        </w:rPr>
        <w:t>3. На різних етапах формування і аналізу даних задіяно безліч медичних працівників і фахівців в сфері охорони здоров’я різного профілю, тому, для отримання даних високої якості, необхідно забезпечити відповідальний підхід і професійну підготовку на кожному з рівнів. Джерела випадкових і систематичних помилок в даних епіднагляду за стійкістю до протимікробних препаратів наведені в </w:t>
      </w:r>
      <w:hyperlink r:id="rId13" w:anchor="n138" w:history="1">
        <w:r w:rsidRPr="00ED7D3B">
          <w:rPr>
            <w:rFonts w:ascii="Times New Roman" w:eastAsia="Times New Roman" w:hAnsi="Times New Roman" w:cs="Times New Roman"/>
            <w:color w:val="006600"/>
            <w:sz w:val="24"/>
            <w:szCs w:val="24"/>
            <w:u w:val="single"/>
            <w:lang w:eastAsia="ru-RU"/>
          </w:rPr>
          <w:t>додатку 4</w:t>
        </w:r>
      </w:hyperlink>
      <w:r w:rsidRPr="00ED7D3B">
        <w:rPr>
          <w:rFonts w:ascii="Times New Roman" w:eastAsia="Times New Roman" w:hAnsi="Times New Roman" w:cs="Times New Roman"/>
          <w:color w:val="333333"/>
          <w:sz w:val="24"/>
          <w:szCs w:val="24"/>
          <w:lang w:eastAsia="ru-RU"/>
        </w:rPr>
        <w:t> до цього Порядку.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8"/>
      <w:bookmarkEnd w:id="87"/>
      <w:r w:rsidRPr="00ED7D3B">
        <w:rPr>
          <w:rFonts w:ascii="Times New Roman" w:eastAsia="Times New Roman" w:hAnsi="Times New Roman" w:cs="Times New Roman"/>
          <w:color w:val="333333"/>
          <w:sz w:val="24"/>
          <w:szCs w:val="24"/>
          <w:lang w:eastAsia="ru-RU"/>
        </w:rPr>
        <w:t>4. З метою інтерпретації даних на національному рівні необхідно використовувати наступну якісну оцінку рівня доказовості даних по країні / окремим територіям:</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89"/>
      <w:bookmarkEnd w:id="88"/>
      <w:r w:rsidRPr="00ED7D3B">
        <w:rPr>
          <w:rFonts w:ascii="Times New Roman" w:eastAsia="Times New Roman" w:hAnsi="Times New Roman" w:cs="Times New Roman"/>
          <w:color w:val="333333"/>
          <w:sz w:val="24"/>
          <w:szCs w:val="24"/>
          <w:lang w:eastAsia="ru-RU"/>
        </w:rPr>
        <w:t>1) рівень A - дані дозволяють оцінювати масштаб і тенденції АМР в країні / на окремій території;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90"/>
      <w:bookmarkEnd w:id="89"/>
      <w:r w:rsidRPr="00ED7D3B">
        <w:rPr>
          <w:rFonts w:ascii="Times New Roman" w:eastAsia="Times New Roman" w:hAnsi="Times New Roman" w:cs="Times New Roman"/>
          <w:color w:val="333333"/>
          <w:sz w:val="24"/>
          <w:szCs w:val="24"/>
          <w:lang w:eastAsia="ru-RU"/>
        </w:rPr>
        <w:t xml:space="preserve">2) рівень </w:t>
      </w:r>
      <w:proofErr w:type="gramStart"/>
      <w:r w:rsidRPr="00ED7D3B">
        <w:rPr>
          <w:rFonts w:ascii="Times New Roman" w:eastAsia="Times New Roman" w:hAnsi="Times New Roman" w:cs="Times New Roman"/>
          <w:color w:val="333333"/>
          <w:sz w:val="24"/>
          <w:szCs w:val="24"/>
          <w:lang w:eastAsia="ru-RU"/>
        </w:rPr>
        <w:t>В</w:t>
      </w:r>
      <w:proofErr w:type="gramEnd"/>
      <w:r w:rsidRPr="00ED7D3B">
        <w:rPr>
          <w:rFonts w:ascii="Times New Roman" w:eastAsia="Times New Roman" w:hAnsi="Times New Roman" w:cs="Times New Roman"/>
          <w:color w:val="333333"/>
          <w:sz w:val="24"/>
          <w:szCs w:val="24"/>
          <w:lang w:eastAsia="ru-RU"/>
        </w:rPr>
        <w:t xml:space="preserve"> - дані дають уявлення про основні профілі стійкості в ЗОЗ країни/окремої території, але частку АМР слід інтерпретувати з обережністю (необхідно поліпшити роботу для досягнення більш достовірної оцінки масштабу і тенденцій АМР в країні / на окремій території);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91"/>
      <w:bookmarkEnd w:id="90"/>
      <w:r w:rsidRPr="00ED7D3B">
        <w:rPr>
          <w:rFonts w:ascii="Times New Roman" w:eastAsia="Times New Roman" w:hAnsi="Times New Roman" w:cs="Times New Roman"/>
          <w:color w:val="333333"/>
          <w:sz w:val="24"/>
          <w:szCs w:val="24"/>
          <w:lang w:eastAsia="ru-RU"/>
        </w:rPr>
        <w:t xml:space="preserve">3) рівень </w:t>
      </w:r>
      <w:proofErr w:type="gramStart"/>
      <w:r w:rsidRPr="00ED7D3B">
        <w:rPr>
          <w:rFonts w:ascii="Times New Roman" w:eastAsia="Times New Roman" w:hAnsi="Times New Roman" w:cs="Times New Roman"/>
          <w:color w:val="333333"/>
          <w:sz w:val="24"/>
          <w:szCs w:val="24"/>
          <w:lang w:eastAsia="ru-RU"/>
        </w:rPr>
        <w:t>С</w:t>
      </w:r>
      <w:proofErr w:type="gramEnd"/>
      <w:r w:rsidRPr="00ED7D3B">
        <w:rPr>
          <w:rFonts w:ascii="Times New Roman" w:eastAsia="Times New Roman" w:hAnsi="Times New Roman" w:cs="Times New Roman"/>
          <w:color w:val="333333"/>
          <w:sz w:val="24"/>
          <w:szCs w:val="24"/>
          <w:lang w:eastAsia="ru-RU"/>
        </w:rPr>
        <w:t xml:space="preserve"> - дані не дозволяють адекватно оцінювати масштаб і тенденції стійкості до протимікробних препаратів в країні / на окремій території (наявна база для збору даних потребує вдосконалення, що дозволило б достовірно оцінювати ситуацію з АМР).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92"/>
      <w:bookmarkEnd w:id="91"/>
      <w:r w:rsidRPr="00ED7D3B">
        <w:rPr>
          <w:rFonts w:ascii="Times New Roman" w:eastAsia="Times New Roman" w:hAnsi="Times New Roman" w:cs="Times New Roman"/>
          <w:color w:val="333333"/>
          <w:sz w:val="24"/>
          <w:szCs w:val="24"/>
          <w:lang w:eastAsia="ru-RU"/>
        </w:rPr>
        <w:t>5. Для визначення рівня доказовості нижченаведені характеристики ДЕН оцінюються за такими критеріями: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93"/>
      <w:bookmarkEnd w:id="92"/>
      <w:r w:rsidRPr="00ED7D3B">
        <w:rPr>
          <w:rFonts w:ascii="Times New Roman" w:eastAsia="Times New Roman" w:hAnsi="Times New Roman" w:cs="Times New Roman"/>
          <w:color w:val="333333"/>
          <w:sz w:val="24"/>
          <w:szCs w:val="24"/>
          <w:lang w:eastAsia="ru-RU"/>
        </w:rPr>
        <w:t>1) географічне охоплення (епіднаглядом має бути охоплено понад 20 % населення країни, географічний розподіл ЗОЗ має бути рівномірним);</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94"/>
      <w:bookmarkEnd w:id="93"/>
      <w:r w:rsidRPr="00ED7D3B">
        <w:rPr>
          <w:rFonts w:ascii="Times New Roman" w:eastAsia="Times New Roman" w:hAnsi="Times New Roman" w:cs="Times New Roman"/>
          <w:color w:val="333333"/>
          <w:sz w:val="24"/>
          <w:szCs w:val="24"/>
          <w:lang w:eastAsia="ru-RU"/>
        </w:rPr>
        <w:t>2) вибір дозорних ЗОЗ або лабораторій (склад установ, що представляють ДЕН, повинен включати ЗОЗ, що надають вторинну (спеціалізовану) та третинну (високоспеціалізовану) медичну допомогу);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95"/>
      <w:bookmarkEnd w:id="94"/>
      <w:r w:rsidRPr="00ED7D3B">
        <w:rPr>
          <w:rFonts w:ascii="Times New Roman" w:eastAsia="Times New Roman" w:hAnsi="Times New Roman" w:cs="Times New Roman"/>
          <w:color w:val="333333"/>
          <w:sz w:val="24"/>
          <w:szCs w:val="24"/>
          <w:lang w:eastAsia="ru-RU"/>
        </w:rPr>
        <w:t>3) методики відбору: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96"/>
      <w:bookmarkEnd w:id="95"/>
      <w:proofErr w:type="gramStart"/>
      <w:r w:rsidRPr="00ED7D3B">
        <w:rPr>
          <w:rFonts w:ascii="Times New Roman" w:eastAsia="Times New Roman" w:hAnsi="Times New Roman" w:cs="Times New Roman"/>
          <w:color w:val="333333"/>
          <w:sz w:val="24"/>
          <w:szCs w:val="24"/>
          <w:lang w:eastAsia="ru-RU"/>
        </w:rPr>
        <w:t>вибір</w:t>
      </w:r>
      <w:proofErr w:type="gramEnd"/>
      <w:r w:rsidRPr="00ED7D3B">
        <w:rPr>
          <w:rFonts w:ascii="Times New Roman" w:eastAsia="Times New Roman" w:hAnsi="Times New Roman" w:cs="Times New Roman"/>
          <w:color w:val="333333"/>
          <w:sz w:val="24"/>
          <w:szCs w:val="24"/>
          <w:lang w:eastAsia="ru-RU"/>
        </w:rPr>
        <w:t xml:space="preserve"> пацієнтів (рівень представлення основних груп пацієнтів з підозрою на інвазивні інфекції);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97"/>
      <w:bookmarkEnd w:id="96"/>
      <w:proofErr w:type="gramStart"/>
      <w:r w:rsidRPr="00ED7D3B">
        <w:rPr>
          <w:rFonts w:ascii="Times New Roman" w:eastAsia="Times New Roman" w:hAnsi="Times New Roman" w:cs="Times New Roman"/>
          <w:color w:val="333333"/>
          <w:sz w:val="24"/>
          <w:szCs w:val="24"/>
          <w:lang w:eastAsia="ru-RU"/>
        </w:rPr>
        <w:lastRenderedPageBreak/>
        <w:t>розмір</w:t>
      </w:r>
      <w:proofErr w:type="gramEnd"/>
      <w:r w:rsidRPr="00ED7D3B">
        <w:rPr>
          <w:rFonts w:ascii="Times New Roman" w:eastAsia="Times New Roman" w:hAnsi="Times New Roman" w:cs="Times New Roman"/>
          <w:color w:val="333333"/>
          <w:sz w:val="24"/>
          <w:szCs w:val="24"/>
          <w:lang w:eastAsia="ru-RU"/>
        </w:rPr>
        <w:t xml:space="preserve"> вибірки (кожною дозорною лабораторією має бути проаналізовано щонайменше 30 ізолятів пріоритетних патогенів, виділених з крові та/або СМР);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98"/>
      <w:bookmarkEnd w:id="97"/>
      <w:r w:rsidRPr="00ED7D3B">
        <w:rPr>
          <w:rFonts w:ascii="Times New Roman" w:eastAsia="Times New Roman" w:hAnsi="Times New Roman" w:cs="Times New Roman"/>
          <w:color w:val="333333"/>
          <w:sz w:val="24"/>
          <w:szCs w:val="24"/>
          <w:lang w:eastAsia="ru-RU"/>
        </w:rPr>
        <w:t>4) лабораторні методи: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99"/>
      <w:bookmarkEnd w:id="98"/>
      <w:proofErr w:type="gramStart"/>
      <w:r w:rsidRPr="00ED7D3B">
        <w:rPr>
          <w:rFonts w:ascii="Times New Roman" w:eastAsia="Times New Roman" w:hAnsi="Times New Roman" w:cs="Times New Roman"/>
          <w:color w:val="333333"/>
          <w:sz w:val="24"/>
          <w:szCs w:val="24"/>
          <w:lang w:eastAsia="ru-RU"/>
        </w:rPr>
        <w:t>методи</w:t>
      </w:r>
      <w:proofErr w:type="gramEnd"/>
      <w:r w:rsidRPr="00ED7D3B">
        <w:rPr>
          <w:rFonts w:ascii="Times New Roman" w:eastAsia="Times New Roman" w:hAnsi="Times New Roman" w:cs="Times New Roman"/>
          <w:color w:val="333333"/>
          <w:sz w:val="24"/>
          <w:szCs w:val="24"/>
          <w:lang w:eastAsia="ru-RU"/>
        </w:rPr>
        <w:t xml:space="preserve"> визначення чутливості до протимікробних препаратів (кожен ізолят має бути протестований на чутливість до визначеної панелі протимікробних препаратів відповідно до додатку 3 до цього Порядку з використанням сучасних методологічних стандартів та в лабораторії має діяти система забезпечення якості);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00"/>
      <w:bookmarkEnd w:id="99"/>
      <w:proofErr w:type="gramStart"/>
      <w:r w:rsidRPr="00ED7D3B">
        <w:rPr>
          <w:rFonts w:ascii="Times New Roman" w:eastAsia="Times New Roman" w:hAnsi="Times New Roman" w:cs="Times New Roman"/>
          <w:color w:val="333333"/>
          <w:sz w:val="24"/>
          <w:szCs w:val="24"/>
          <w:lang w:eastAsia="ru-RU"/>
        </w:rPr>
        <w:t>граничні</w:t>
      </w:r>
      <w:proofErr w:type="gramEnd"/>
      <w:r w:rsidRPr="00ED7D3B">
        <w:rPr>
          <w:rFonts w:ascii="Times New Roman" w:eastAsia="Times New Roman" w:hAnsi="Times New Roman" w:cs="Times New Roman"/>
          <w:color w:val="333333"/>
          <w:sz w:val="24"/>
          <w:szCs w:val="24"/>
          <w:lang w:eastAsia="ru-RU"/>
        </w:rPr>
        <w:t xml:space="preserve"> значення, які використовуються при визначенні чутливості до протимікробних препаратів (використовується гармонізована і оновлена система граничних значень).</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101"/>
      <w:bookmarkEnd w:id="100"/>
      <w:r w:rsidRPr="00ED7D3B">
        <w:rPr>
          <w:rFonts w:ascii="Times New Roman" w:eastAsia="Times New Roman" w:hAnsi="Times New Roman" w:cs="Times New Roman"/>
          <w:color w:val="333333"/>
          <w:sz w:val="24"/>
          <w:szCs w:val="24"/>
          <w:lang w:eastAsia="ru-RU"/>
        </w:rPr>
        <w:t>6. Оцінка рівня доказовості - завдання Центру.</w:t>
      </w:r>
    </w:p>
    <w:tbl>
      <w:tblPr>
        <w:tblW w:w="5000" w:type="pct"/>
        <w:tblCellMar>
          <w:left w:w="0" w:type="dxa"/>
          <w:right w:w="0" w:type="dxa"/>
        </w:tblCellMar>
        <w:tblLook w:val="04A0" w:firstRow="1" w:lastRow="0" w:firstColumn="1" w:lastColumn="0" w:noHBand="0" w:noVBand="1"/>
      </w:tblPr>
      <w:tblGrid>
        <w:gridCol w:w="3927"/>
        <w:gridCol w:w="5422"/>
      </w:tblGrid>
      <w:tr w:rsidR="00ED7D3B" w:rsidRPr="00ED7D3B" w:rsidTr="00ED7D3B">
        <w:tc>
          <w:tcPr>
            <w:tcW w:w="21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300" w:after="150" w:line="240" w:lineRule="auto"/>
              <w:jc w:val="center"/>
              <w:rPr>
                <w:rFonts w:ascii="Times New Roman" w:eastAsia="Times New Roman" w:hAnsi="Times New Roman" w:cs="Times New Roman"/>
                <w:sz w:val="24"/>
                <w:szCs w:val="24"/>
                <w:lang w:eastAsia="ru-RU"/>
              </w:rPr>
            </w:pPr>
            <w:bookmarkStart w:id="101" w:name="n102"/>
            <w:bookmarkEnd w:id="101"/>
            <w:r w:rsidRPr="00ED7D3B">
              <w:rPr>
                <w:rFonts w:ascii="Times New Roman" w:eastAsia="Times New Roman" w:hAnsi="Times New Roman" w:cs="Times New Roman"/>
                <w:b/>
                <w:bCs/>
                <w:sz w:val="24"/>
                <w:szCs w:val="24"/>
                <w:lang w:eastAsia="ru-RU"/>
              </w:rPr>
              <w:t>Генеральний директор</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Директорату громадського</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здоров’я та профілактики</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захворюваності</w:t>
            </w:r>
          </w:p>
        </w:tc>
        <w:tc>
          <w:tcPr>
            <w:tcW w:w="35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300" w:after="0" w:line="240" w:lineRule="auto"/>
              <w:jc w:val="right"/>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b/>
                <w:bCs/>
                <w:sz w:val="24"/>
                <w:szCs w:val="24"/>
                <w:lang w:eastAsia="ru-RU"/>
              </w:rPr>
              <w:t>І. Руденко</w:t>
            </w:r>
          </w:p>
        </w:tc>
      </w:tr>
    </w:tbl>
    <w:p w:rsidR="00ED7D3B" w:rsidRPr="00ED7D3B" w:rsidRDefault="00ED7D3B" w:rsidP="00ED7D3B">
      <w:pPr>
        <w:spacing w:after="0" w:line="240" w:lineRule="auto"/>
        <w:rPr>
          <w:rFonts w:ascii="Times New Roman" w:eastAsia="Times New Roman" w:hAnsi="Times New Roman" w:cs="Times New Roman"/>
          <w:sz w:val="24"/>
          <w:szCs w:val="24"/>
          <w:lang w:eastAsia="ru-RU"/>
        </w:rPr>
      </w:pPr>
      <w:bookmarkStart w:id="102" w:name="n172"/>
      <w:bookmarkEnd w:id="102"/>
      <w:r w:rsidRPr="00ED7D3B">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ED7D3B" w:rsidRPr="00ED7D3B" w:rsidTr="00ED7D3B">
        <w:tc>
          <w:tcPr>
            <w:tcW w:w="225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03" w:name="n103"/>
            <w:bookmarkEnd w:id="103"/>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Додаток 1</w:t>
            </w:r>
            <w:r w:rsidRPr="00ED7D3B">
              <w:rPr>
                <w:rFonts w:ascii="Times New Roman" w:eastAsia="Times New Roman" w:hAnsi="Times New Roman" w:cs="Times New Roman"/>
                <w:sz w:val="24"/>
                <w:szCs w:val="24"/>
                <w:lang w:eastAsia="ru-RU"/>
              </w:rPr>
              <w:br/>
              <w:t>до Порядку здійснення дозорного</w:t>
            </w:r>
            <w:r w:rsidRPr="00ED7D3B">
              <w:rPr>
                <w:rFonts w:ascii="Times New Roman" w:eastAsia="Times New Roman" w:hAnsi="Times New Roman" w:cs="Times New Roman"/>
                <w:sz w:val="24"/>
                <w:szCs w:val="24"/>
                <w:lang w:eastAsia="ru-RU"/>
              </w:rPr>
              <w:br/>
              <w:t>епідеміологічного нагляду</w:t>
            </w:r>
            <w:r w:rsidRPr="00ED7D3B">
              <w:rPr>
                <w:rFonts w:ascii="Times New Roman" w:eastAsia="Times New Roman" w:hAnsi="Times New Roman" w:cs="Times New Roman"/>
                <w:sz w:val="24"/>
                <w:szCs w:val="24"/>
                <w:lang w:eastAsia="ru-RU"/>
              </w:rPr>
              <w:br/>
              <w:t xml:space="preserve">за протимікробною </w:t>
            </w:r>
            <w:proofErr w:type="gramStart"/>
            <w:r w:rsidRPr="00ED7D3B">
              <w:rPr>
                <w:rFonts w:ascii="Times New Roman" w:eastAsia="Times New Roman" w:hAnsi="Times New Roman" w:cs="Times New Roman"/>
                <w:sz w:val="24"/>
                <w:szCs w:val="24"/>
                <w:lang w:eastAsia="ru-RU"/>
              </w:rPr>
              <w:t>резистентністю</w:t>
            </w:r>
            <w:r w:rsidRPr="00ED7D3B">
              <w:rPr>
                <w:rFonts w:ascii="Times New Roman" w:eastAsia="Times New Roman" w:hAnsi="Times New Roman" w:cs="Times New Roman"/>
                <w:sz w:val="24"/>
                <w:szCs w:val="24"/>
                <w:lang w:eastAsia="ru-RU"/>
              </w:rPr>
              <w:br/>
              <w:t>(</w:t>
            </w:r>
            <w:proofErr w:type="gramEnd"/>
            <w:r w:rsidRPr="00ED7D3B">
              <w:rPr>
                <w:rFonts w:ascii="Times New Roman" w:eastAsia="Times New Roman" w:hAnsi="Times New Roman" w:cs="Times New Roman"/>
                <w:sz w:val="24"/>
                <w:szCs w:val="24"/>
                <w:lang w:eastAsia="ru-RU"/>
              </w:rPr>
              <w:t>підпункт 2 пункту 4 розділу II)</w:t>
            </w:r>
          </w:p>
        </w:tc>
      </w:tr>
    </w:tbl>
    <w:p w:rsidR="00ED7D3B" w:rsidRP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4" w:name="n104"/>
      <w:bookmarkEnd w:id="104"/>
      <w:r w:rsidRPr="00ED7D3B">
        <w:rPr>
          <w:rFonts w:ascii="Times New Roman" w:eastAsia="Times New Roman" w:hAnsi="Times New Roman" w:cs="Times New Roman"/>
          <w:b/>
          <w:bCs/>
          <w:color w:val="333333"/>
          <w:sz w:val="28"/>
          <w:szCs w:val="28"/>
          <w:lang w:eastAsia="ru-RU"/>
        </w:rPr>
        <w:t>ВІДБІР</w:t>
      </w:r>
      <w:r w:rsidRPr="00ED7D3B">
        <w:rPr>
          <w:rFonts w:ascii="Times New Roman" w:eastAsia="Times New Roman" w:hAnsi="Times New Roman" w:cs="Times New Roman"/>
          <w:color w:val="333333"/>
          <w:sz w:val="24"/>
          <w:szCs w:val="24"/>
          <w:lang w:eastAsia="ru-RU"/>
        </w:rPr>
        <w:br/>
      </w:r>
      <w:r w:rsidRPr="00ED7D3B">
        <w:rPr>
          <w:rFonts w:ascii="Times New Roman" w:eastAsia="Times New Roman" w:hAnsi="Times New Roman" w:cs="Times New Roman"/>
          <w:b/>
          <w:bCs/>
          <w:color w:val="333333"/>
          <w:sz w:val="28"/>
          <w:szCs w:val="28"/>
          <w:lang w:eastAsia="ru-RU"/>
        </w:rPr>
        <w:t>зразків крові та СМР у пацієнтів з ознаками інфекції кровотоку або менінгіту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05"/>
      <w:bookmarkEnd w:id="105"/>
      <w:r w:rsidRPr="00ED7D3B">
        <w:rPr>
          <w:rFonts w:ascii="Times New Roman" w:eastAsia="Times New Roman" w:hAnsi="Times New Roman" w:cs="Times New Roman"/>
          <w:color w:val="333333"/>
          <w:sz w:val="24"/>
          <w:szCs w:val="24"/>
          <w:lang w:eastAsia="ru-RU"/>
        </w:rPr>
        <w:t>Медичним працівникам слід активно проводити моніторинг стану пацієнтів і виявляти випадки з клінічними ознаками, що дозволяють запідозрити інфекцію кровоточу або менінгіт.</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06"/>
      <w:bookmarkEnd w:id="106"/>
      <w:r w:rsidRPr="00ED7D3B">
        <w:rPr>
          <w:rFonts w:ascii="Times New Roman" w:eastAsia="Times New Roman" w:hAnsi="Times New Roman" w:cs="Times New Roman"/>
          <w:color w:val="333333"/>
          <w:sz w:val="24"/>
          <w:szCs w:val="24"/>
          <w:lang w:eastAsia="ru-RU"/>
        </w:rPr>
        <w:t>Основними показаннями для бактеріологічного дослідження крові є наявність двох або більше симптомів синдрому системної запальної відповіді: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07"/>
      <w:bookmarkEnd w:id="107"/>
      <w:proofErr w:type="gramStart"/>
      <w:r w:rsidRPr="00ED7D3B">
        <w:rPr>
          <w:rFonts w:ascii="Times New Roman" w:eastAsia="Times New Roman" w:hAnsi="Times New Roman" w:cs="Times New Roman"/>
          <w:color w:val="333333"/>
          <w:sz w:val="24"/>
          <w:szCs w:val="24"/>
          <w:lang w:eastAsia="ru-RU"/>
        </w:rPr>
        <w:t>лихоманка</w:t>
      </w:r>
      <w:proofErr w:type="gramEnd"/>
      <w:r w:rsidRPr="00ED7D3B">
        <w:rPr>
          <w:rFonts w:ascii="Times New Roman" w:eastAsia="Times New Roman" w:hAnsi="Times New Roman" w:cs="Times New Roman"/>
          <w:color w:val="333333"/>
          <w:sz w:val="24"/>
          <w:szCs w:val="24"/>
          <w:lang w:eastAsia="ru-RU"/>
        </w:rPr>
        <w:t xml:space="preserve"> 38 </w:t>
      </w:r>
      <w:r w:rsidRPr="00ED7D3B">
        <w:rPr>
          <w:rFonts w:ascii="Times New Roman" w:eastAsia="Times New Roman" w:hAnsi="Times New Roman" w:cs="Times New Roman"/>
          <w:b/>
          <w:bCs/>
          <w:color w:val="333333"/>
          <w:sz w:val="16"/>
          <w:szCs w:val="16"/>
          <w:vertAlign w:val="superscript"/>
          <w:lang w:eastAsia="ru-RU"/>
        </w:rPr>
        <w:t>°</w:t>
      </w:r>
      <w:r w:rsidRPr="00ED7D3B">
        <w:rPr>
          <w:rFonts w:ascii="Times New Roman" w:eastAsia="Times New Roman" w:hAnsi="Times New Roman" w:cs="Times New Roman"/>
          <w:color w:val="333333"/>
          <w:sz w:val="24"/>
          <w:szCs w:val="24"/>
          <w:lang w:eastAsia="ru-RU"/>
        </w:rPr>
        <w:t>C та вище або гіпотермія нижче 35 </w:t>
      </w:r>
      <w:r w:rsidRPr="00ED7D3B">
        <w:rPr>
          <w:rFonts w:ascii="Times New Roman" w:eastAsia="Times New Roman" w:hAnsi="Times New Roman" w:cs="Times New Roman"/>
          <w:b/>
          <w:bCs/>
          <w:color w:val="333333"/>
          <w:sz w:val="16"/>
          <w:szCs w:val="16"/>
          <w:vertAlign w:val="superscript"/>
          <w:lang w:eastAsia="ru-RU"/>
        </w:rPr>
        <w:t>°</w:t>
      </w:r>
      <w:r w:rsidRPr="00ED7D3B">
        <w:rPr>
          <w:rFonts w:ascii="Times New Roman" w:eastAsia="Times New Roman" w:hAnsi="Times New Roman" w:cs="Times New Roman"/>
          <w:color w:val="333333"/>
          <w:sz w:val="24"/>
          <w:szCs w:val="24"/>
          <w:lang w:eastAsia="ru-RU"/>
        </w:rPr>
        <w:t>C;</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08"/>
      <w:bookmarkEnd w:id="108"/>
      <w:proofErr w:type="gramStart"/>
      <w:r w:rsidRPr="00ED7D3B">
        <w:rPr>
          <w:rFonts w:ascii="Times New Roman" w:eastAsia="Times New Roman" w:hAnsi="Times New Roman" w:cs="Times New Roman"/>
          <w:color w:val="333333"/>
          <w:sz w:val="24"/>
          <w:szCs w:val="24"/>
          <w:lang w:eastAsia="ru-RU"/>
        </w:rPr>
        <w:t>частота</w:t>
      </w:r>
      <w:proofErr w:type="gramEnd"/>
      <w:r w:rsidRPr="00ED7D3B">
        <w:rPr>
          <w:rFonts w:ascii="Times New Roman" w:eastAsia="Times New Roman" w:hAnsi="Times New Roman" w:cs="Times New Roman"/>
          <w:color w:val="333333"/>
          <w:sz w:val="24"/>
          <w:szCs w:val="24"/>
          <w:lang w:eastAsia="ru-RU"/>
        </w:rPr>
        <w:t xml:space="preserve"> серцевих скорочень більше 90 ударів на хвилину;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09"/>
      <w:bookmarkEnd w:id="109"/>
      <w:proofErr w:type="gramStart"/>
      <w:r w:rsidRPr="00ED7D3B">
        <w:rPr>
          <w:rFonts w:ascii="Times New Roman" w:eastAsia="Times New Roman" w:hAnsi="Times New Roman" w:cs="Times New Roman"/>
          <w:color w:val="333333"/>
          <w:sz w:val="24"/>
          <w:szCs w:val="24"/>
          <w:lang w:eastAsia="ru-RU"/>
        </w:rPr>
        <w:t>частота</w:t>
      </w:r>
      <w:proofErr w:type="gramEnd"/>
      <w:r w:rsidRPr="00ED7D3B">
        <w:rPr>
          <w:rFonts w:ascii="Times New Roman" w:eastAsia="Times New Roman" w:hAnsi="Times New Roman" w:cs="Times New Roman"/>
          <w:color w:val="333333"/>
          <w:sz w:val="24"/>
          <w:szCs w:val="24"/>
          <w:lang w:eastAsia="ru-RU"/>
        </w:rPr>
        <w:t xml:space="preserve"> дихання більше 20 на хвилину;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10"/>
      <w:bookmarkEnd w:id="110"/>
      <w:proofErr w:type="gramStart"/>
      <w:r w:rsidRPr="00ED7D3B">
        <w:rPr>
          <w:rFonts w:ascii="Times New Roman" w:eastAsia="Times New Roman" w:hAnsi="Times New Roman" w:cs="Times New Roman"/>
          <w:color w:val="333333"/>
          <w:sz w:val="24"/>
          <w:szCs w:val="24"/>
          <w:lang w:eastAsia="ru-RU"/>
        </w:rPr>
        <w:t>число</w:t>
      </w:r>
      <w:proofErr w:type="gramEnd"/>
      <w:r w:rsidRPr="00ED7D3B">
        <w:rPr>
          <w:rFonts w:ascii="Times New Roman" w:eastAsia="Times New Roman" w:hAnsi="Times New Roman" w:cs="Times New Roman"/>
          <w:color w:val="333333"/>
          <w:sz w:val="24"/>
          <w:szCs w:val="24"/>
          <w:lang w:eastAsia="ru-RU"/>
        </w:rPr>
        <w:t xml:space="preserve"> лейкоцитів більше 12 </w:t>
      </w:r>
      <w:r w:rsidRPr="00ED7D3B">
        <w:rPr>
          <w:rFonts w:ascii="Arial Unicode MS" w:eastAsia="Arial Unicode MS" w:hAnsi="Arial Unicode MS" w:cs="Arial Unicode MS" w:hint="eastAsia"/>
          <w:b/>
          <w:bCs/>
          <w:color w:val="333333"/>
          <w:sz w:val="24"/>
          <w:szCs w:val="24"/>
          <w:lang w:eastAsia="ru-RU"/>
        </w:rPr>
        <w:t>×</w:t>
      </w:r>
      <w:r w:rsidRPr="00ED7D3B">
        <w:rPr>
          <w:rFonts w:ascii="Times New Roman" w:eastAsia="Times New Roman" w:hAnsi="Times New Roman" w:cs="Times New Roman"/>
          <w:color w:val="333333"/>
          <w:sz w:val="24"/>
          <w:szCs w:val="24"/>
          <w:lang w:eastAsia="ru-RU"/>
        </w:rPr>
        <w:t> 10</w:t>
      </w:r>
      <w:r w:rsidRPr="00ED7D3B">
        <w:rPr>
          <w:rFonts w:ascii="Times New Roman" w:eastAsia="Times New Roman" w:hAnsi="Times New Roman" w:cs="Times New Roman"/>
          <w:b/>
          <w:bCs/>
          <w:color w:val="333333"/>
          <w:sz w:val="2"/>
          <w:szCs w:val="2"/>
          <w:vertAlign w:val="superscript"/>
          <w:lang w:eastAsia="ru-RU"/>
        </w:rPr>
        <w:t>-</w:t>
      </w:r>
      <w:r w:rsidRPr="00ED7D3B">
        <w:rPr>
          <w:rFonts w:ascii="Times New Roman" w:eastAsia="Times New Roman" w:hAnsi="Times New Roman" w:cs="Times New Roman"/>
          <w:b/>
          <w:bCs/>
          <w:color w:val="333333"/>
          <w:sz w:val="16"/>
          <w:szCs w:val="16"/>
          <w:vertAlign w:val="superscript"/>
          <w:lang w:eastAsia="ru-RU"/>
        </w:rPr>
        <w:t>9</w:t>
      </w:r>
      <w:r w:rsidRPr="00ED7D3B">
        <w:rPr>
          <w:rFonts w:ascii="Times New Roman" w:eastAsia="Times New Roman" w:hAnsi="Times New Roman" w:cs="Times New Roman"/>
          <w:color w:val="333333"/>
          <w:sz w:val="24"/>
          <w:szCs w:val="24"/>
          <w:lang w:eastAsia="ru-RU"/>
        </w:rPr>
        <w:t>/л або менше 4 </w:t>
      </w:r>
      <w:r w:rsidRPr="00ED7D3B">
        <w:rPr>
          <w:rFonts w:ascii="Arial Unicode MS" w:eastAsia="Arial Unicode MS" w:hAnsi="Arial Unicode MS" w:cs="Arial Unicode MS" w:hint="eastAsia"/>
          <w:b/>
          <w:bCs/>
          <w:color w:val="333333"/>
          <w:sz w:val="24"/>
          <w:szCs w:val="24"/>
          <w:lang w:eastAsia="ru-RU"/>
        </w:rPr>
        <w:t>×</w:t>
      </w:r>
      <w:r w:rsidRPr="00ED7D3B">
        <w:rPr>
          <w:rFonts w:ascii="Times New Roman" w:eastAsia="Times New Roman" w:hAnsi="Times New Roman" w:cs="Times New Roman"/>
          <w:color w:val="333333"/>
          <w:sz w:val="24"/>
          <w:szCs w:val="24"/>
          <w:lang w:eastAsia="ru-RU"/>
        </w:rPr>
        <w:t> 10</w:t>
      </w:r>
      <w:r w:rsidRPr="00ED7D3B">
        <w:rPr>
          <w:rFonts w:ascii="Times New Roman" w:eastAsia="Times New Roman" w:hAnsi="Times New Roman" w:cs="Times New Roman"/>
          <w:b/>
          <w:bCs/>
          <w:color w:val="333333"/>
          <w:sz w:val="2"/>
          <w:szCs w:val="2"/>
          <w:vertAlign w:val="superscript"/>
          <w:lang w:eastAsia="ru-RU"/>
        </w:rPr>
        <w:t>-</w:t>
      </w:r>
      <w:r w:rsidRPr="00ED7D3B">
        <w:rPr>
          <w:rFonts w:ascii="Times New Roman" w:eastAsia="Times New Roman" w:hAnsi="Times New Roman" w:cs="Times New Roman"/>
          <w:b/>
          <w:bCs/>
          <w:color w:val="333333"/>
          <w:sz w:val="16"/>
          <w:szCs w:val="16"/>
          <w:vertAlign w:val="superscript"/>
          <w:lang w:eastAsia="ru-RU"/>
        </w:rPr>
        <w:t>9</w:t>
      </w:r>
      <w:r w:rsidRPr="00ED7D3B">
        <w:rPr>
          <w:rFonts w:ascii="Times New Roman" w:eastAsia="Times New Roman" w:hAnsi="Times New Roman" w:cs="Times New Roman"/>
          <w:color w:val="333333"/>
          <w:sz w:val="24"/>
          <w:szCs w:val="24"/>
          <w:lang w:eastAsia="ru-RU"/>
        </w:rPr>
        <w:t>/л або за наявності більше 10 % незрілих форм.</w:t>
      </w:r>
    </w:p>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11" w:name="n111"/>
      <w:bookmarkEnd w:id="111"/>
      <w:r w:rsidRPr="00ED7D3B">
        <w:rPr>
          <w:rFonts w:ascii="Times New Roman" w:eastAsia="Times New Roman" w:hAnsi="Times New Roman" w:cs="Times New Roman"/>
          <w:b/>
          <w:bCs/>
          <w:color w:val="333333"/>
          <w:sz w:val="24"/>
          <w:szCs w:val="24"/>
          <w:lang w:eastAsia="ru-RU"/>
        </w:rPr>
        <w:t>Забір крові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12"/>
      <w:bookmarkEnd w:id="112"/>
      <w:r w:rsidRPr="00ED7D3B">
        <w:rPr>
          <w:rFonts w:ascii="Times New Roman" w:eastAsia="Times New Roman" w:hAnsi="Times New Roman" w:cs="Times New Roman"/>
          <w:color w:val="333333"/>
          <w:sz w:val="24"/>
          <w:szCs w:val="24"/>
          <w:lang w:eastAsia="ru-RU"/>
        </w:rPr>
        <w:t>Зазвичай один комплект для гемокультури містить один зразок крові, отриманий після однієї венепункції, внесений одночасно в два окремих флакони - один для аеробного, а інший для анаеробного культивування.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13"/>
      <w:bookmarkEnd w:id="113"/>
      <w:r w:rsidRPr="00ED7D3B">
        <w:rPr>
          <w:rFonts w:ascii="Times New Roman" w:eastAsia="Times New Roman" w:hAnsi="Times New Roman" w:cs="Times New Roman"/>
          <w:color w:val="333333"/>
          <w:sz w:val="24"/>
          <w:szCs w:val="24"/>
          <w:lang w:eastAsia="ru-RU"/>
        </w:rPr>
        <w:t>Отримання зразків крові не повинно затримувати початок антибіотикотерапії більше ніж на 45 хвилин.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14"/>
      <w:bookmarkEnd w:id="114"/>
      <w:r w:rsidRPr="00ED7D3B">
        <w:rPr>
          <w:rFonts w:ascii="Times New Roman" w:eastAsia="Times New Roman" w:hAnsi="Times New Roman" w:cs="Times New Roman"/>
          <w:color w:val="333333"/>
          <w:sz w:val="24"/>
          <w:szCs w:val="24"/>
          <w:lang w:eastAsia="ru-RU"/>
        </w:rPr>
        <w:lastRenderedPageBreak/>
        <w:t>Кров слід унести в комплект з двох флаконів для гемокультури (один для виявлення аеробної та факультативно-анаеробної мікрофлори, другий для виявлення анаеробної мікрофлори або два флакони для виявлення аеробної та факультативно-анаеробної мікрофлори).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15"/>
      <w:bookmarkEnd w:id="115"/>
      <w:r w:rsidRPr="00ED7D3B">
        <w:rPr>
          <w:rFonts w:ascii="Times New Roman" w:eastAsia="Times New Roman" w:hAnsi="Times New Roman" w:cs="Times New Roman"/>
          <w:color w:val="333333"/>
          <w:sz w:val="24"/>
          <w:szCs w:val="24"/>
          <w:lang w:eastAsia="ru-RU"/>
        </w:rPr>
        <w:t>Забір крові здійснюють як мінімум з двох ділянок (обидва доступи можуть бути черезшкірними або один доступ - черезшкірний, а інший через порт судинного катетера, який встановлено не більше 48 годин до моменту забору (окрім випадків забору для діагностики катетер-асоційованих інфекцій кровотоку).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16"/>
      <w:bookmarkEnd w:id="116"/>
      <w:r w:rsidRPr="00ED7D3B">
        <w:rPr>
          <w:rFonts w:ascii="Times New Roman" w:eastAsia="Times New Roman" w:hAnsi="Times New Roman" w:cs="Times New Roman"/>
          <w:color w:val="333333"/>
          <w:sz w:val="24"/>
          <w:szCs w:val="24"/>
          <w:lang w:eastAsia="ru-RU"/>
        </w:rPr>
        <w:t>При підозрі на інфекційний ендокардит досліджують щонайменше три зразки (по два флакони кожний) з проміжком часу не менше шести годин.</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17"/>
      <w:bookmarkEnd w:id="117"/>
      <w:r w:rsidRPr="00ED7D3B">
        <w:rPr>
          <w:rFonts w:ascii="Times New Roman" w:eastAsia="Times New Roman" w:hAnsi="Times New Roman" w:cs="Times New Roman"/>
          <w:color w:val="333333"/>
          <w:sz w:val="24"/>
          <w:szCs w:val="24"/>
          <w:lang w:eastAsia="ru-RU"/>
        </w:rPr>
        <w:t>Шкіру над веною, яку пунктують, ретельно обробляють 70 % етиловим спиртом впродовж 30 секунд, а далі йодовмісним антисептиком (йодопірон, повідон-йод) або 2 % розчином хлоргексидину впродовж 30 секунд. Дають висохнути та проводять венепункцію (повторну пальпацію вени дозволено проводити виключно в одягнених стерильних рукавичках!).</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18"/>
      <w:bookmarkEnd w:id="118"/>
      <w:r w:rsidRPr="00ED7D3B">
        <w:rPr>
          <w:rFonts w:ascii="Times New Roman" w:eastAsia="Times New Roman" w:hAnsi="Times New Roman" w:cs="Times New Roman"/>
          <w:color w:val="333333"/>
          <w:sz w:val="24"/>
          <w:szCs w:val="24"/>
          <w:lang w:eastAsia="ru-RU"/>
        </w:rPr>
        <w:t>Об’єм досліджуваної крові при кожній венепункції має становити 10-30 мл у дорослих та не менше 2 мл у дітей (таблиця 1).</w:t>
      </w:r>
    </w:p>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19" w:name="n119"/>
      <w:bookmarkEnd w:id="119"/>
      <w:r w:rsidRPr="00ED7D3B">
        <w:rPr>
          <w:rFonts w:ascii="Times New Roman" w:eastAsia="Times New Roman" w:hAnsi="Times New Roman" w:cs="Times New Roman"/>
          <w:b/>
          <w:bCs/>
          <w:color w:val="333333"/>
          <w:sz w:val="24"/>
          <w:szCs w:val="24"/>
          <w:lang w:eastAsia="ru-RU"/>
        </w:rPr>
        <w:t>Таблиця 1. Об’єми крові, рекомендовані для отримання гемокультури у дітей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57"/>
        <w:gridCol w:w="2494"/>
        <w:gridCol w:w="2494"/>
        <w:gridCol w:w="2494"/>
      </w:tblGrid>
      <w:tr w:rsidR="00ED7D3B" w:rsidRPr="00ED7D3B" w:rsidTr="00ED7D3B">
        <w:trPr>
          <w:trHeight w:val="60"/>
        </w:trPr>
        <w:tc>
          <w:tcPr>
            <w:tcW w:w="153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bookmarkStart w:id="120" w:name="n120"/>
            <w:bookmarkEnd w:id="120"/>
            <w:r w:rsidRPr="00ED7D3B">
              <w:rPr>
                <w:rFonts w:ascii="Times New Roman" w:eastAsia="Times New Roman" w:hAnsi="Times New Roman" w:cs="Times New Roman"/>
                <w:sz w:val="24"/>
                <w:szCs w:val="24"/>
                <w:lang w:eastAsia="ru-RU"/>
              </w:rPr>
              <w:t>Маса тіла дитини (кг)</w:t>
            </w:r>
          </w:p>
        </w:tc>
        <w:tc>
          <w:tcPr>
            <w:tcW w:w="4110" w:type="dxa"/>
            <w:gridSpan w:val="2"/>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Рекомендований обсяг крові для отримання гемокультури (мл)</w:t>
            </w:r>
          </w:p>
        </w:tc>
        <w:tc>
          <w:tcPr>
            <w:tcW w:w="2055" w:type="dxa"/>
            <w:vMerge w:val="restart"/>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Загальний обсяг для культивування (мл)</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Комплект для гемокультури № 1</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Комплект для гемокультури № 2</w:t>
            </w:r>
          </w:p>
        </w:tc>
        <w:tc>
          <w:tcPr>
            <w:tcW w:w="0" w:type="auto"/>
            <w:vMerge/>
            <w:tcBorders>
              <w:top w:val="single" w:sz="6" w:space="0" w:color="000000"/>
              <w:left w:val="nil"/>
              <w:bottom w:val="single" w:sz="6" w:space="0" w:color="000000"/>
              <w:right w:val="single" w:sz="6" w:space="0" w:color="000000"/>
            </w:tcBorders>
            <w:vAlign w:val="center"/>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r>
      <w:tr w:rsidR="00ED7D3B" w:rsidRPr="00ED7D3B" w:rsidTr="00ED7D3B">
        <w:trPr>
          <w:trHeight w:val="60"/>
        </w:trPr>
        <w:tc>
          <w:tcPr>
            <w:tcW w:w="153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Arial Unicode MS" w:eastAsia="Arial Unicode MS" w:hAnsi="Arial Unicode MS" w:cs="Arial Unicode MS" w:hint="eastAsia"/>
                <w:b/>
                <w:bCs/>
                <w:sz w:val="24"/>
                <w:szCs w:val="24"/>
                <w:lang w:eastAsia="ru-RU"/>
              </w:rPr>
              <w:t>≤</w:t>
            </w:r>
            <w:r w:rsidRPr="00ED7D3B">
              <w:rPr>
                <w:rFonts w:ascii="Times New Roman" w:eastAsia="Times New Roman" w:hAnsi="Times New Roman" w:cs="Times New Roman"/>
                <w:sz w:val="24"/>
                <w:szCs w:val="24"/>
                <w:lang w:eastAsia="ru-RU"/>
              </w:rPr>
              <w:t>1</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w:t>
            </w:r>
          </w:p>
        </w:tc>
      </w:tr>
      <w:tr w:rsidR="00ED7D3B" w:rsidRPr="00ED7D3B" w:rsidTr="00ED7D3B">
        <w:trPr>
          <w:trHeight w:val="60"/>
        </w:trPr>
        <w:tc>
          <w:tcPr>
            <w:tcW w:w="153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1,1-2,0</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4</w:t>
            </w:r>
          </w:p>
        </w:tc>
      </w:tr>
      <w:tr w:rsidR="00ED7D3B" w:rsidRPr="00ED7D3B" w:rsidTr="00ED7D3B">
        <w:trPr>
          <w:trHeight w:val="60"/>
        </w:trPr>
        <w:tc>
          <w:tcPr>
            <w:tcW w:w="153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2,1-12,7</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4</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6</w:t>
            </w:r>
          </w:p>
        </w:tc>
      </w:tr>
      <w:tr w:rsidR="00ED7D3B" w:rsidRPr="00ED7D3B" w:rsidTr="00ED7D3B">
        <w:trPr>
          <w:trHeight w:val="60"/>
        </w:trPr>
        <w:tc>
          <w:tcPr>
            <w:tcW w:w="153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12,8-36,3</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10</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10</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20</w:t>
            </w:r>
          </w:p>
        </w:tc>
      </w:tr>
      <w:tr w:rsidR="00ED7D3B" w:rsidRPr="00ED7D3B" w:rsidTr="00ED7D3B">
        <w:trPr>
          <w:trHeight w:val="60"/>
        </w:trPr>
        <w:tc>
          <w:tcPr>
            <w:tcW w:w="153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&gt;36,3</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20-30</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20-30</w:t>
            </w:r>
          </w:p>
        </w:tc>
        <w:tc>
          <w:tcPr>
            <w:tcW w:w="205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40-60</w:t>
            </w:r>
          </w:p>
        </w:tc>
      </w:tr>
    </w:tbl>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21"/>
      <w:bookmarkEnd w:id="121"/>
      <w:r w:rsidRPr="00ED7D3B">
        <w:rPr>
          <w:rFonts w:ascii="Times New Roman" w:eastAsia="Times New Roman" w:hAnsi="Times New Roman" w:cs="Times New Roman"/>
          <w:color w:val="333333"/>
          <w:sz w:val="24"/>
          <w:szCs w:val="24"/>
          <w:lang w:eastAsia="ru-RU"/>
        </w:rPr>
        <w:t xml:space="preserve">Оптимальне співвідношення обсягів крові і поживного середовища становить від </w:t>
      </w:r>
      <w:proofErr w:type="gramStart"/>
      <w:r w:rsidRPr="00ED7D3B">
        <w:rPr>
          <w:rFonts w:ascii="Times New Roman" w:eastAsia="Times New Roman" w:hAnsi="Times New Roman" w:cs="Times New Roman"/>
          <w:color w:val="333333"/>
          <w:sz w:val="24"/>
          <w:szCs w:val="24"/>
          <w:lang w:eastAsia="ru-RU"/>
        </w:rPr>
        <w:t>1 :</w:t>
      </w:r>
      <w:proofErr w:type="gramEnd"/>
      <w:r w:rsidRPr="00ED7D3B">
        <w:rPr>
          <w:rFonts w:ascii="Times New Roman" w:eastAsia="Times New Roman" w:hAnsi="Times New Roman" w:cs="Times New Roman"/>
          <w:color w:val="333333"/>
          <w:sz w:val="24"/>
          <w:szCs w:val="24"/>
          <w:lang w:eastAsia="ru-RU"/>
        </w:rPr>
        <w:t xml:space="preserve"> 5 до 1 : 10 або відповідно рекомендацій виробника флаконів для гемокультур.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22"/>
      <w:bookmarkEnd w:id="122"/>
      <w:r w:rsidRPr="00ED7D3B">
        <w:rPr>
          <w:rFonts w:ascii="Times New Roman" w:eastAsia="Times New Roman" w:hAnsi="Times New Roman" w:cs="Times New Roman"/>
          <w:b/>
          <w:bCs/>
          <w:color w:val="333333"/>
          <w:sz w:val="24"/>
          <w:szCs w:val="24"/>
          <w:lang w:eastAsia="ru-RU"/>
        </w:rPr>
        <w:t>Транспортування зразка</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23"/>
      <w:bookmarkEnd w:id="123"/>
      <w:r w:rsidRPr="00ED7D3B">
        <w:rPr>
          <w:rFonts w:ascii="Times New Roman" w:eastAsia="Times New Roman" w:hAnsi="Times New Roman" w:cs="Times New Roman"/>
          <w:color w:val="333333"/>
          <w:sz w:val="24"/>
          <w:szCs w:val="24"/>
          <w:lang w:eastAsia="ru-RU"/>
        </w:rPr>
        <w:t>Гемокультури повинні бути доставлені в лабораторію якомога швидше після взяття крові.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24"/>
      <w:bookmarkEnd w:id="124"/>
      <w:r w:rsidRPr="00ED7D3B">
        <w:rPr>
          <w:rFonts w:ascii="Times New Roman" w:eastAsia="Times New Roman" w:hAnsi="Times New Roman" w:cs="Times New Roman"/>
          <w:color w:val="333333"/>
          <w:sz w:val="24"/>
          <w:szCs w:val="24"/>
          <w:lang w:eastAsia="ru-RU"/>
        </w:rPr>
        <w:t>Якщо відправка затримується, флакони, призначені для обробки за допомогою автоматизованих систем культивування, повинні зберігатися при кімнатній температурі. Флакони, призначені для ручної обробки, повинні зберігатися при 37°C. Заборонено зберігати гемокультури в холодильнику.</w:t>
      </w:r>
    </w:p>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25" w:name="n125"/>
      <w:bookmarkEnd w:id="125"/>
      <w:r w:rsidRPr="00ED7D3B">
        <w:rPr>
          <w:rFonts w:ascii="Times New Roman" w:eastAsia="Times New Roman" w:hAnsi="Times New Roman" w:cs="Times New Roman"/>
          <w:b/>
          <w:bCs/>
          <w:color w:val="333333"/>
          <w:sz w:val="24"/>
          <w:szCs w:val="24"/>
          <w:lang w:eastAsia="ru-RU"/>
        </w:rPr>
        <w:t>Забір СМР</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26"/>
      <w:bookmarkEnd w:id="126"/>
      <w:r w:rsidRPr="00ED7D3B">
        <w:rPr>
          <w:rFonts w:ascii="Times New Roman" w:eastAsia="Times New Roman" w:hAnsi="Times New Roman" w:cs="Times New Roman"/>
          <w:color w:val="333333"/>
          <w:sz w:val="24"/>
          <w:szCs w:val="24"/>
          <w:lang w:eastAsia="ru-RU"/>
        </w:rPr>
        <w:lastRenderedPageBreak/>
        <w:t>Забір СМР здійснює лікар-клініцист шляхом люмбальної пункції з дотриманням правил асептики. Пункцію виконують між остистими відростками L4 та L5 або L3 та L4. Місце пункції обробляють 70 % етиловим спиртом впродовж 30 секунд, а потім наносять розчин йодовмісного антисептика (йодопірон, повідон-йод) та дають висохти. СМР забирають в кількості 3-4 мл в три стерильні пробірки, по 1 мл в кожну. Якщо достатню кількість СМР відібрати неможливо, відбір менше 1 мл недоцільний. В таблиці 2 наведений алгоритм вибору виду дослідження в залежності від кількості відібраної СМР.</w:t>
      </w:r>
    </w:p>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27" w:name="n127"/>
      <w:bookmarkEnd w:id="127"/>
      <w:r w:rsidRPr="00ED7D3B">
        <w:rPr>
          <w:rFonts w:ascii="Times New Roman" w:eastAsia="Times New Roman" w:hAnsi="Times New Roman" w:cs="Times New Roman"/>
          <w:b/>
          <w:bCs/>
          <w:color w:val="333333"/>
          <w:sz w:val="24"/>
          <w:szCs w:val="24"/>
          <w:lang w:eastAsia="ru-RU"/>
        </w:rPr>
        <w:t>Таблиця 2. Відправлення зразків СМР на лабораторні дослідження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34"/>
        <w:gridCol w:w="2335"/>
        <w:gridCol w:w="2335"/>
        <w:gridCol w:w="2335"/>
      </w:tblGrid>
      <w:tr w:rsidR="00ED7D3B" w:rsidRPr="00ED7D3B" w:rsidTr="00ED7D3B">
        <w:trPr>
          <w:trHeight w:val="60"/>
        </w:trPr>
        <w:tc>
          <w:tcPr>
            <w:tcW w:w="1920" w:type="dxa"/>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bookmarkStart w:id="128" w:name="n128"/>
            <w:bookmarkEnd w:id="128"/>
            <w:r w:rsidRPr="00ED7D3B">
              <w:rPr>
                <w:rFonts w:ascii="Times New Roman" w:eastAsia="Times New Roman" w:hAnsi="Times New Roman" w:cs="Times New Roman"/>
                <w:sz w:val="24"/>
                <w:szCs w:val="24"/>
                <w:lang w:eastAsia="ru-RU"/>
              </w:rPr>
              <w:t>Кількість відібраних пробірок</w:t>
            </w:r>
          </w:p>
        </w:tc>
        <w:tc>
          <w:tcPr>
            <w:tcW w:w="192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Бактеріологічне дослідження</w:t>
            </w:r>
          </w:p>
        </w:tc>
        <w:tc>
          <w:tcPr>
            <w:tcW w:w="192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Біохімічне дослідження</w:t>
            </w:r>
          </w:p>
        </w:tc>
        <w:tc>
          <w:tcPr>
            <w:tcW w:w="192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Цитологічне дослідження</w:t>
            </w:r>
          </w:p>
        </w:tc>
      </w:tr>
      <w:tr w:rsidR="00ED7D3B" w:rsidRPr="00ED7D3B" w:rsidTr="00ED7D3B">
        <w:trPr>
          <w:trHeight w:val="60"/>
        </w:trPr>
        <w:tc>
          <w:tcPr>
            <w:tcW w:w="192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1</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proofErr w:type="gramStart"/>
            <w:r w:rsidRPr="00ED7D3B">
              <w:rPr>
                <w:rFonts w:ascii="Times New Roman" w:eastAsia="Times New Roman" w:hAnsi="Times New Roman" w:cs="Times New Roman"/>
                <w:sz w:val="24"/>
                <w:szCs w:val="24"/>
                <w:lang w:eastAsia="ru-RU"/>
              </w:rPr>
              <w:t>пробірка</w:t>
            </w:r>
            <w:proofErr w:type="gramEnd"/>
            <w:r w:rsidRPr="00ED7D3B">
              <w:rPr>
                <w:rFonts w:ascii="Times New Roman" w:eastAsia="Times New Roman" w:hAnsi="Times New Roman" w:cs="Times New Roman"/>
                <w:sz w:val="24"/>
                <w:szCs w:val="24"/>
                <w:lang w:eastAsia="ru-RU"/>
              </w:rPr>
              <w:t xml:space="preserve"> № 1</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w:t>
            </w:r>
          </w:p>
        </w:tc>
      </w:tr>
      <w:tr w:rsidR="00ED7D3B" w:rsidRPr="00ED7D3B" w:rsidTr="00ED7D3B">
        <w:trPr>
          <w:trHeight w:val="60"/>
        </w:trPr>
        <w:tc>
          <w:tcPr>
            <w:tcW w:w="192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2</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proofErr w:type="gramStart"/>
            <w:r w:rsidRPr="00ED7D3B">
              <w:rPr>
                <w:rFonts w:ascii="Times New Roman" w:eastAsia="Times New Roman" w:hAnsi="Times New Roman" w:cs="Times New Roman"/>
                <w:sz w:val="24"/>
                <w:szCs w:val="24"/>
                <w:lang w:eastAsia="ru-RU"/>
              </w:rPr>
              <w:t>пробірка</w:t>
            </w:r>
            <w:proofErr w:type="gramEnd"/>
            <w:r w:rsidRPr="00ED7D3B">
              <w:rPr>
                <w:rFonts w:ascii="Times New Roman" w:eastAsia="Times New Roman" w:hAnsi="Times New Roman" w:cs="Times New Roman"/>
                <w:sz w:val="24"/>
                <w:szCs w:val="24"/>
                <w:lang w:eastAsia="ru-RU"/>
              </w:rPr>
              <w:t xml:space="preserve"> № 2</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proofErr w:type="gramStart"/>
            <w:r w:rsidRPr="00ED7D3B">
              <w:rPr>
                <w:rFonts w:ascii="Times New Roman" w:eastAsia="Times New Roman" w:hAnsi="Times New Roman" w:cs="Times New Roman"/>
                <w:sz w:val="24"/>
                <w:szCs w:val="24"/>
                <w:lang w:eastAsia="ru-RU"/>
              </w:rPr>
              <w:t>пробірка</w:t>
            </w:r>
            <w:proofErr w:type="gramEnd"/>
            <w:r w:rsidRPr="00ED7D3B">
              <w:rPr>
                <w:rFonts w:ascii="Times New Roman" w:eastAsia="Times New Roman" w:hAnsi="Times New Roman" w:cs="Times New Roman"/>
                <w:sz w:val="24"/>
                <w:szCs w:val="24"/>
                <w:lang w:eastAsia="ru-RU"/>
              </w:rPr>
              <w:t xml:space="preserve"> № 1</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w:t>
            </w:r>
          </w:p>
        </w:tc>
      </w:tr>
      <w:tr w:rsidR="00ED7D3B" w:rsidRPr="00ED7D3B" w:rsidTr="00ED7D3B">
        <w:trPr>
          <w:trHeight w:val="60"/>
        </w:trPr>
        <w:tc>
          <w:tcPr>
            <w:tcW w:w="192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3</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proofErr w:type="gramStart"/>
            <w:r w:rsidRPr="00ED7D3B">
              <w:rPr>
                <w:rFonts w:ascii="Times New Roman" w:eastAsia="Times New Roman" w:hAnsi="Times New Roman" w:cs="Times New Roman"/>
                <w:sz w:val="24"/>
                <w:szCs w:val="24"/>
                <w:lang w:eastAsia="ru-RU"/>
              </w:rPr>
              <w:t>пробірка</w:t>
            </w:r>
            <w:proofErr w:type="gramEnd"/>
            <w:r w:rsidRPr="00ED7D3B">
              <w:rPr>
                <w:rFonts w:ascii="Times New Roman" w:eastAsia="Times New Roman" w:hAnsi="Times New Roman" w:cs="Times New Roman"/>
                <w:sz w:val="24"/>
                <w:szCs w:val="24"/>
                <w:lang w:eastAsia="ru-RU"/>
              </w:rPr>
              <w:t xml:space="preserve"> № 2 або № 3</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proofErr w:type="gramStart"/>
            <w:r w:rsidRPr="00ED7D3B">
              <w:rPr>
                <w:rFonts w:ascii="Times New Roman" w:eastAsia="Times New Roman" w:hAnsi="Times New Roman" w:cs="Times New Roman"/>
                <w:sz w:val="24"/>
                <w:szCs w:val="24"/>
                <w:lang w:eastAsia="ru-RU"/>
              </w:rPr>
              <w:t>пробірка</w:t>
            </w:r>
            <w:proofErr w:type="gramEnd"/>
            <w:r w:rsidRPr="00ED7D3B">
              <w:rPr>
                <w:rFonts w:ascii="Times New Roman" w:eastAsia="Times New Roman" w:hAnsi="Times New Roman" w:cs="Times New Roman"/>
                <w:sz w:val="24"/>
                <w:szCs w:val="24"/>
                <w:lang w:eastAsia="ru-RU"/>
              </w:rPr>
              <w:t xml:space="preserve"> № 1</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proofErr w:type="gramStart"/>
            <w:r w:rsidRPr="00ED7D3B">
              <w:rPr>
                <w:rFonts w:ascii="Times New Roman" w:eastAsia="Times New Roman" w:hAnsi="Times New Roman" w:cs="Times New Roman"/>
                <w:sz w:val="24"/>
                <w:szCs w:val="24"/>
                <w:lang w:eastAsia="ru-RU"/>
              </w:rPr>
              <w:t>пробірка</w:t>
            </w:r>
            <w:proofErr w:type="gramEnd"/>
            <w:r w:rsidRPr="00ED7D3B">
              <w:rPr>
                <w:rFonts w:ascii="Times New Roman" w:eastAsia="Times New Roman" w:hAnsi="Times New Roman" w:cs="Times New Roman"/>
                <w:sz w:val="24"/>
                <w:szCs w:val="24"/>
                <w:lang w:eastAsia="ru-RU"/>
              </w:rPr>
              <w:t xml:space="preserve"> № 2 або № 3</w:t>
            </w:r>
          </w:p>
        </w:tc>
      </w:tr>
    </w:tbl>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29"/>
      <w:bookmarkEnd w:id="129"/>
      <w:r w:rsidRPr="00ED7D3B">
        <w:rPr>
          <w:rFonts w:ascii="Times New Roman" w:eastAsia="Times New Roman" w:hAnsi="Times New Roman" w:cs="Times New Roman"/>
          <w:color w:val="333333"/>
          <w:sz w:val="24"/>
          <w:szCs w:val="24"/>
          <w:lang w:eastAsia="ru-RU"/>
        </w:rPr>
        <w:t>Зразок негайно доставляється в лабораторію для посіву. В процесі зберігання та транспортування зразок оберігають від холоду.</w:t>
      </w:r>
    </w:p>
    <w:p w:rsidR="00ED7D3B" w:rsidRPr="00ED7D3B" w:rsidRDefault="00ED7D3B" w:rsidP="00ED7D3B">
      <w:pPr>
        <w:spacing w:after="0" w:line="240" w:lineRule="auto"/>
        <w:rPr>
          <w:rFonts w:ascii="Times New Roman" w:eastAsia="Times New Roman" w:hAnsi="Times New Roman" w:cs="Times New Roman"/>
          <w:sz w:val="24"/>
          <w:szCs w:val="24"/>
          <w:lang w:eastAsia="ru-RU"/>
        </w:rPr>
      </w:pPr>
      <w:bookmarkStart w:id="130" w:name="n171"/>
      <w:bookmarkEnd w:id="130"/>
      <w:r w:rsidRPr="00ED7D3B">
        <w:rPr>
          <w:rFonts w:ascii="Times New Roman" w:eastAsia="Times New Roman" w:hAnsi="Times New Roman" w:cs="Times New Roman"/>
          <w:sz w:val="24"/>
          <w:szCs w:val="24"/>
          <w:lang w:eastAsia="ru-RU"/>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ED7D3B" w:rsidRPr="00ED7D3B" w:rsidTr="00ED7D3B">
        <w:tc>
          <w:tcPr>
            <w:tcW w:w="225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31" w:name="n130"/>
            <w:bookmarkEnd w:id="131"/>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Додаток 2</w:t>
            </w:r>
            <w:r w:rsidRPr="00ED7D3B">
              <w:rPr>
                <w:rFonts w:ascii="Times New Roman" w:eastAsia="Times New Roman" w:hAnsi="Times New Roman" w:cs="Times New Roman"/>
                <w:sz w:val="24"/>
                <w:szCs w:val="24"/>
                <w:lang w:eastAsia="ru-RU"/>
              </w:rPr>
              <w:br/>
              <w:t>до Порядку здійснення дозорного</w:t>
            </w:r>
            <w:r w:rsidRPr="00ED7D3B">
              <w:rPr>
                <w:rFonts w:ascii="Times New Roman" w:eastAsia="Times New Roman" w:hAnsi="Times New Roman" w:cs="Times New Roman"/>
                <w:sz w:val="24"/>
                <w:szCs w:val="24"/>
                <w:lang w:eastAsia="ru-RU"/>
              </w:rPr>
              <w:br/>
              <w:t>епідеміологічного нагляду</w:t>
            </w:r>
            <w:r w:rsidRPr="00ED7D3B">
              <w:rPr>
                <w:rFonts w:ascii="Times New Roman" w:eastAsia="Times New Roman" w:hAnsi="Times New Roman" w:cs="Times New Roman"/>
                <w:sz w:val="24"/>
                <w:szCs w:val="24"/>
                <w:lang w:eastAsia="ru-RU"/>
              </w:rPr>
              <w:br/>
              <w:t xml:space="preserve">за протимікробною </w:t>
            </w:r>
            <w:proofErr w:type="gramStart"/>
            <w:r w:rsidRPr="00ED7D3B">
              <w:rPr>
                <w:rFonts w:ascii="Times New Roman" w:eastAsia="Times New Roman" w:hAnsi="Times New Roman" w:cs="Times New Roman"/>
                <w:sz w:val="24"/>
                <w:szCs w:val="24"/>
                <w:lang w:eastAsia="ru-RU"/>
              </w:rPr>
              <w:t>резистентністю</w:t>
            </w:r>
            <w:r w:rsidRPr="00ED7D3B">
              <w:rPr>
                <w:rFonts w:ascii="Times New Roman" w:eastAsia="Times New Roman" w:hAnsi="Times New Roman" w:cs="Times New Roman"/>
                <w:sz w:val="24"/>
                <w:szCs w:val="24"/>
                <w:lang w:eastAsia="ru-RU"/>
              </w:rPr>
              <w:br/>
              <w:t>(</w:t>
            </w:r>
            <w:proofErr w:type="gramEnd"/>
            <w:r w:rsidRPr="00ED7D3B">
              <w:rPr>
                <w:rFonts w:ascii="Times New Roman" w:eastAsia="Times New Roman" w:hAnsi="Times New Roman" w:cs="Times New Roman"/>
                <w:sz w:val="24"/>
                <w:szCs w:val="24"/>
                <w:lang w:eastAsia="ru-RU"/>
              </w:rPr>
              <w:t>підпункт 3 пункту 4 розділу II)</w:t>
            </w:r>
          </w:p>
        </w:tc>
      </w:tr>
    </w:tbl>
    <w:p w:rsid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eastAsia="ru-RU"/>
        </w:rPr>
      </w:pPr>
      <w:bookmarkStart w:id="132" w:name="n131"/>
      <w:bookmarkEnd w:id="132"/>
      <w:r w:rsidRPr="00ED7D3B">
        <w:rPr>
          <w:rFonts w:ascii="Times New Roman" w:eastAsia="Times New Roman" w:hAnsi="Times New Roman" w:cs="Times New Roman"/>
          <w:b/>
          <w:bCs/>
          <w:color w:val="C00909"/>
          <w:sz w:val="28"/>
          <w:szCs w:val="28"/>
          <w:u w:val="single"/>
          <w:lang w:eastAsia="ru-RU"/>
        </w:rPr>
        <w:t>ПЕРЕЛІК</w:t>
      </w:r>
      <w:r w:rsidRPr="00ED7D3B">
        <w:rPr>
          <w:rFonts w:ascii="Times New Roman" w:eastAsia="Times New Roman" w:hAnsi="Times New Roman" w:cs="Times New Roman"/>
          <w:color w:val="333333"/>
          <w:sz w:val="24"/>
          <w:szCs w:val="24"/>
          <w:lang w:eastAsia="ru-RU"/>
        </w:rPr>
        <w:br/>
      </w:r>
      <w:r w:rsidRPr="00ED7D3B">
        <w:rPr>
          <w:rFonts w:ascii="Times New Roman" w:eastAsia="Times New Roman" w:hAnsi="Times New Roman" w:cs="Times New Roman"/>
          <w:b/>
          <w:bCs/>
          <w:color w:val="333333"/>
          <w:sz w:val="28"/>
          <w:szCs w:val="28"/>
          <w:lang w:eastAsia="ru-RU"/>
        </w:rPr>
        <w:t>відомостей, які необхідно включати до направлення на дослідження в лабораторію</w:t>
      </w:r>
    </w:p>
    <w:tbl>
      <w:tblPr>
        <w:tblW w:w="5000" w:type="pct"/>
        <w:tblLook w:val="0000" w:firstRow="0" w:lastRow="0" w:firstColumn="0" w:lastColumn="0" w:noHBand="0" w:noVBand="0"/>
      </w:tblPr>
      <w:tblGrid>
        <w:gridCol w:w="9355"/>
      </w:tblGrid>
      <w:tr w:rsidR="00FA55C4" w:rsidRPr="0060059A" w:rsidTr="0060059A">
        <w:tc>
          <w:tcPr>
            <w:tcW w:w="0" w:type="auto"/>
          </w:tcPr>
          <w:tbl>
            <w:tblPr>
              <w:tblpPr w:leftFromText="45" w:rightFromText="45" w:vertAnchor="text" w:tblpXSpec="right" w:tblpYSpec="center"/>
              <w:tblW w:w="2250" w:type="pct"/>
              <w:tblLook w:val="0000" w:firstRow="0" w:lastRow="0" w:firstColumn="0" w:lastColumn="0" w:noHBand="0" w:noVBand="0"/>
            </w:tblPr>
            <w:tblGrid>
              <w:gridCol w:w="4113"/>
            </w:tblGrid>
            <w:tr w:rsidR="00FA55C4" w:rsidRPr="0060059A" w:rsidTr="0060059A">
              <w:tc>
                <w:tcPr>
                  <w:tcW w:w="5000" w:type="pct"/>
                  <w:tcBorders>
                    <w:top w:val="nil"/>
                    <w:left w:val="nil"/>
                    <w:bottom w:val="nil"/>
                    <w:right w:val="nil"/>
                  </w:tcBorders>
                </w:tcPr>
                <w:p w:rsidR="00FA55C4" w:rsidRPr="0060059A" w:rsidRDefault="00FA55C4">
                  <w:pPr>
                    <w:pStyle w:val="a4"/>
                    <w:rPr>
                      <w:lang w:val="uk-UA"/>
                    </w:rPr>
                  </w:pPr>
                  <w:r w:rsidRPr="0060059A">
                    <w:rPr>
                      <w:lang w:val="uk-UA"/>
                    </w:rPr>
                    <w:t>Додаток 2</w:t>
                  </w:r>
                  <w:r w:rsidRPr="0060059A">
                    <w:rPr>
                      <w:lang w:val="uk-UA"/>
                    </w:rPr>
                    <w:br/>
                    <w:t>до Порядку здійснення дозорного епідеміологічного нагляду за протимікробною резистентністю</w:t>
                  </w:r>
                  <w:r w:rsidRPr="0060059A">
                    <w:rPr>
                      <w:lang w:val="uk-UA"/>
                    </w:rPr>
                    <w:br/>
                    <w:t>(підпункт 3 пункту 4 розділу II)</w:t>
                  </w:r>
                </w:p>
              </w:tc>
            </w:tr>
          </w:tbl>
          <w:p w:rsidR="00FA55C4" w:rsidRPr="0060059A" w:rsidRDefault="00FA55C4">
            <w:pPr>
              <w:rPr>
                <w:lang w:val="uk-UA"/>
              </w:rPr>
            </w:pPr>
          </w:p>
        </w:tc>
      </w:tr>
    </w:tbl>
    <w:p w:rsidR="00FA55C4" w:rsidRPr="0060059A" w:rsidRDefault="00FA55C4" w:rsidP="0060059A">
      <w:pPr>
        <w:pStyle w:val="a4"/>
        <w:rPr>
          <w:lang w:val="uk-UA"/>
        </w:rPr>
      </w:pPr>
    </w:p>
    <w:p w:rsidR="00FA55C4" w:rsidRPr="0060059A" w:rsidRDefault="00FA55C4" w:rsidP="0060059A">
      <w:pPr>
        <w:pStyle w:val="3"/>
        <w:jc w:val="center"/>
        <w:rPr>
          <w:lang w:val="uk-UA"/>
        </w:rPr>
      </w:pPr>
      <w:bookmarkStart w:id="133" w:name="186"/>
      <w:bookmarkEnd w:id="133"/>
      <w:r>
        <w:rPr>
          <w:lang w:val="uk-UA"/>
        </w:rPr>
        <w:t>ПЕРЕЛІК</w:t>
      </w:r>
      <w:r w:rsidRPr="0060059A">
        <w:rPr>
          <w:lang w:val="uk-UA"/>
        </w:rPr>
        <w:t xml:space="preserve"> </w:t>
      </w:r>
      <w:r>
        <w:rPr>
          <w:lang w:val="uk-UA"/>
        </w:rPr>
        <w:br/>
      </w:r>
      <w:r w:rsidRPr="0060059A">
        <w:rPr>
          <w:lang w:val="uk-UA"/>
        </w:rPr>
        <w:t>відомостей, які необхідно включати до направлення на дослідження в лабораторію</w:t>
      </w:r>
    </w:p>
    <w:tbl>
      <w:tblPr>
        <w:tblW w:w="5000" w:type="pct"/>
        <w:tblLook w:val="0000" w:firstRow="0" w:lastRow="0" w:firstColumn="0" w:lastColumn="0" w:noHBand="0" w:noVBand="0"/>
      </w:tblPr>
      <w:tblGrid>
        <w:gridCol w:w="9355"/>
      </w:tblGrid>
      <w:tr w:rsidR="00FA55C4" w:rsidRPr="0060059A" w:rsidTr="00FA55C4">
        <w:tc>
          <w:tcPr>
            <w:tcW w:w="5000" w:type="pct"/>
          </w:tcPr>
          <w:p w:rsidR="00FA55C4" w:rsidRPr="0060059A" w:rsidRDefault="00FA55C4">
            <w:pPr>
              <w:pStyle w:val="a4"/>
              <w:rPr>
                <w:lang w:val="uk-UA"/>
              </w:rPr>
            </w:pPr>
            <w:bookmarkStart w:id="134" w:name="187"/>
            <w:bookmarkEnd w:id="134"/>
            <w:r w:rsidRPr="0060059A">
              <w:rPr>
                <w:b/>
                <w:bCs/>
                <w:lang w:val="uk-UA"/>
              </w:rPr>
              <w:t>Інформація про пацієнта</w:t>
            </w:r>
          </w:p>
          <w:p w:rsidR="00FA55C4" w:rsidRPr="0060059A" w:rsidRDefault="00FA55C4" w:rsidP="005F1A9D">
            <w:pPr>
              <w:pStyle w:val="a4"/>
              <w:spacing w:before="0" w:beforeAutospacing="0" w:after="0" w:afterAutospacing="0"/>
              <w:rPr>
                <w:lang w:val="uk-UA"/>
              </w:rPr>
            </w:pPr>
            <w:bookmarkStart w:id="135" w:name="188"/>
            <w:bookmarkEnd w:id="135"/>
            <w:r w:rsidRPr="0060059A">
              <w:rPr>
                <w:lang w:val="uk-UA"/>
              </w:rPr>
              <w:t>1. Заклад охорони здоров'я: _____________________________________________________________</w:t>
            </w:r>
          </w:p>
          <w:p w:rsidR="00FA55C4" w:rsidRPr="0060059A" w:rsidRDefault="00FA55C4" w:rsidP="005F1A9D">
            <w:pPr>
              <w:pStyle w:val="a4"/>
              <w:spacing w:before="0" w:beforeAutospacing="0" w:after="0" w:afterAutospacing="0"/>
              <w:rPr>
                <w:lang w:val="uk-UA"/>
              </w:rPr>
            </w:pPr>
            <w:bookmarkStart w:id="136" w:name="189"/>
            <w:bookmarkEnd w:id="136"/>
            <w:r w:rsidRPr="0060059A">
              <w:rPr>
                <w:lang w:val="uk-UA"/>
              </w:rPr>
              <w:t>2. Ідентифікаційний номер пацієнта: _____________________________________________________</w:t>
            </w:r>
          </w:p>
          <w:p w:rsidR="00FA55C4" w:rsidRPr="0060059A" w:rsidRDefault="00FA55C4" w:rsidP="005F1A9D">
            <w:pPr>
              <w:pStyle w:val="a4"/>
              <w:spacing w:before="0" w:beforeAutospacing="0" w:after="0" w:afterAutospacing="0"/>
              <w:rPr>
                <w:lang w:val="uk-UA"/>
              </w:rPr>
            </w:pPr>
            <w:bookmarkStart w:id="137" w:name="190"/>
            <w:bookmarkEnd w:id="137"/>
            <w:r w:rsidRPr="0060059A">
              <w:rPr>
                <w:lang w:val="uk-UA"/>
              </w:rPr>
              <w:t>3. Дата народження (дд-мм-рр): ____________</w:t>
            </w:r>
          </w:p>
          <w:p w:rsidR="00FA55C4" w:rsidRPr="0060059A" w:rsidRDefault="00FA55C4" w:rsidP="005F1A9D">
            <w:pPr>
              <w:pStyle w:val="a4"/>
              <w:spacing w:before="0" w:beforeAutospacing="0" w:after="0" w:afterAutospacing="0"/>
              <w:rPr>
                <w:lang w:val="uk-UA"/>
              </w:rPr>
            </w:pPr>
            <w:bookmarkStart w:id="138" w:name="191"/>
            <w:bookmarkEnd w:id="138"/>
            <w:r w:rsidRPr="0060059A">
              <w:rPr>
                <w:lang w:val="uk-UA"/>
              </w:rPr>
              <w:lastRenderedPageBreak/>
              <w:t>4. Стать: чоловіча жіноча невідомо</w:t>
            </w:r>
          </w:p>
          <w:p w:rsidR="00FA55C4" w:rsidRPr="0060059A" w:rsidRDefault="00FA55C4" w:rsidP="005F1A9D">
            <w:pPr>
              <w:pStyle w:val="a4"/>
              <w:spacing w:before="0" w:beforeAutospacing="0" w:after="0" w:afterAutospacing="0"/>
              <w:rPr>
                <w:lang w:val="uk-UA"/>
              </w:rPr>
            </w:pPr>
            <w:bookmarkStart w:id="139" w:name="192"/>
            <w:bookmarkEnd w:id="139"/>
            <w:r w:rsidRPr="0060059A">
              <w:rPr>
                <w:lang w:val="uk-UA"/>
              </w:rPr>
              <w:t>5. Мета дослідження ___________________________________________________________________</w:t>
            </w:r>
          </w:p>
          <w:p w:rsidR="00FA55C4" w:rsidRPr="0060059A" w:rsidRDefault="00FA55C4">
            <w:pPr>
              <w:pStyle w:val="a4"/>
              <w:rPr>
                <w:lang w:val="uk-UA"/>
              </w:rPr>
            </w:pPr>
            <w:bookmarkStart w:id="140" w:name="193"/>
            <w:bookmarkEnd w:id="140"/>
            <w:r w:rsidRPr="0060059A">
              <w:rPr>
                <w:b/>
                <w:bCs/>
                <w:lang w:val="uk-UA"/>
              </w:rPr>
              <w:t>Клінічні дані</w:t>
            </w:r>
          </w:p>
          <w:p w:rsidR="00FA55C4" w:rsidRPr="0060059A" w:rsidRDefault="00FA55C4" w:rsidP="005F1A9D">
            <w:pPr>
              <w:pStyle w:val="a4"/>
              <w:spacing w:before="0" w:beforeAutospacing="0" w:after="0" w:afterAutospacing="0"/>
              <w:rPr>
                <w:lang w:val="uk-UA"/>
              </w:rPr>
            </w:pPr>
            <w:bookmarkStart w:id="141" w:name="194"/>
            <w:bookmarkEnd w:id="141"/>
            <w:r w:rsidRPr="0060059A">
              <w:rPr>
                <w:lang w:val="uk-UA"/>
              </w:rPr>
              <w:t>6. Дата взяття зразка (дд-мм-рр): ____________</w:t>
            </w:r>
          </w:p>
          <w:p w:rsidR="00FA55C4" w:rsidRPr="0060059A" w:rsidRDefault="00FA55C4" w:rsidP="005F1A9D">
            <w:pPr>
              <w:pStyle w:val="a4"/>
              <w:spacing w:before="0" w:beforeAutospacing="0" w:after="0" w:afterAutospacing="0"/>
              <w:rPr>
                <w:lang w:val="uk-UA"/>
              </w:rPr>
            </w:pPr>
            <w:bookmarkStart w:id="142" w:name="195"/>
            <w:bookmarkEnd w:id="142"/>
            <w:r w:rsidRPr="0060059A">
              <w:rPr>
                <w:lang w:val="uk-UA"/>
              </w:rPr>
              <w:t>7. Дата надходження до лікарні (дд-мм-рр): ____________</w:t>
            </w:r>
          </w:p>
          <w:p w:rsidR="00FA55C4" w:rsidRPr="0060059A" w:rsidRDefault="00FA55C4" w:rsidP="005F1A9D">
            <w:pPr>
              <w:pStyle w:val="a4"/>
              <w:spacing w:before="0" w:beforeAutospacing="0" w:after="0" w:afterAutospacing="0"/>
              <w:rPr>
                <w:lang w:val="uk-UA"/>
              </w:rPr>
            </w:pPr>
            <w:bookmarkStart w:id="143" w:name="196"/>
            <w:bookmarkEnd w:id="143"/>
            <w:r w:rsidRPr="0060059A">
              <w:rPr>
                <w:lang w:val="uk-UA"/>
              </w:rPr>
              <w:t>8. Первинний діагноз при надходженні: __________________________________________________</w:t>
            </w:r>
          </w:p>
          <w:p w:rsidR="00FA55C4" w:rsidRPr="0060059A" w:rsidRDefault="00FA55C4" w:rsidP="005F1A9D">
            <w:pPr>
              <w:pStyle w:val="a4"/>
              <w:spacing w:before="0" w:beforeAutospacing="0" w:after="0" w:afterAutospacing="0"/>
              <w:rPr>
                <w:lang w:val="uk-UA"/>
              </w:rPr>
            </w:pPr>
            <w:bookmarkStart w:id="144" w:name="197"/>
            <w:bookmarkEnd w:id="144"/>
            <w:r w:rsidRPr="0060059A">
              <w:rPr>
                <w:lang w:val="uk-UA"/>
              </w:rPr>
              <w:t>9. Відділе</w:t>
            </w:r>
            <w:r>
              <w:rPr>
                <w:lang w:val="uk-UA"/>
              </w:rPr>
              <w:t>ння: _________________________ №</w:t>
            </w:r>
            <w:r w:rsidRPr="0060059A">
              <w:rPr>
                <w:lang w:val="uk-UA"/>
              </w:rPr>
              <w:t xml:space="preserve"> історії хвороби _______________________________</w:t>
            </w:r>
          </w:p>
          <w:p w:rsidR="00FA55C4" w:rsidRPr="0060059A" w:rsidRDefault="00FA55C4" w:rsidP="005F1A9D">
            <w:pPr>
              <w:pStyle w:val="a4"/>
              <w:spacing w:before="0" w:beforeAutospacing="0" w:after="0" w:afterAutospacing="0"/>
              <w:rPr>
                <w:lang w:val="uk-UA"/>
              </w:rPr>
            </w:pPr>
            <w:bookmarkStart w:id="145" w:name="198"/>
            <w:bookmarkEnd w:id="145"/>
            <w:r w:rsidRPr="0060059A">
              <w:rPr>
                <w:lang w:val="uk-UA"/>
              </w:rPr>
              <w:t>10. Пацієнт отримував антибіотики під час взяття зразка крові для посіву? Так Ні</w:t>
            </w:r>
          </w:p>
          <w:p w:rsidR="00FA55C4" w:rsidRPr="0060059A" w:rsidRDefault="00FA55C4" w:rsidP="005F1A9D">
            <w:pPr>
              <w:pStyle w:val="a4"/>
              <w:spacing w:before="0" w:beforeAutospacing="0" w:after="0" w:afterAutospacing="0"/>
              <w:rPr>
                <w:lang w:val="uk-UA"/>
              </w:rPr>
            </w:pPr>
            <w:bookmarkStart w:id="146" w:name="199"/>
            <w:bookmarkEnd w:id="146"/>
            <w:r w:rsidRPr="0060059A">
              <w:rPr>
                <w:lang w:val="uk-UA"/>
              </w:rPr>
              <w:t>11. Якщо так, будь ласка, вкажіть дані щодо антибіотика (діюча речовина), який отримує пацієнт:</w:t>
            </w:r>
          </w:p>
          <w:p w:rsidR="00FA55C4" w:rsidRPr="0060059A" w:rsidRDefault="00FA55C4">
            <w:pPr>
              <w:pStyle w:val="a4"/>
              <w:rPr>
                <w:lang w:val="uk-UA"/>
              </w:rPr>
            </w:pPr>
            <w:bookmarkStart w:id="147" w:name="200"/>
            <w:bookmarkEnd w:id="147"/>
            <w:r w:rsidRPr="0060059A">
              <w:rPr>
                <w:b/>
                <w:bCs/>
                <w:lang w:val="uk-UA"/>
              </w:rPr>
              <w:t>Антибіотик 1</w:t>
            </w:r>
            <w:r w:rsidRPr="0060059A">
              <w:rPr>
                <w:lang w:val="uk-UA"/>
              </w:rPr>
              <w:t xml:space="preserve"> Назва препарату (діюча речовина): __________________________________________</w:t>
            </w:r>
          </w:p>
          <w:p w:rsidR="00FA55C4" w:rsidRPr="0060059A" w:rsidRDefault="00FA55C4" w:rsidP="005F1A9D">
            <w:pPr>
              <w:pStyle w:val="a4"/>
              <w:spacing w:before="0" w:beforeAutospacing="0" w:after="0" w:afterAutospacing="0"/>
              <w:rPr>
                <w:lang w:val="uk-UA"/>
              </w:rPr>
            </w:pPr>
            <w:bookmarkStart w:id="148" w:name="201"/>
            <w:bookmarkEnd w:id="148"/>
            <w:r w:rsidRPr="0060059A">
              <w:rPr>
                <w:lang w:val="uk-UA"/>
              </w:rPr>
              <w:t>Частота введення: ______________ раз на добу</w:t>
            </w:r>
          </w:p>
          <w:p w:rsidR="00FA55C4" w:rsidRPr="0060059A" w:rsidRDefault="00FA55C4" w:rsidP="005F1A9D">
            <w:pPr>
              <w:pStyle w:val="a4"/>
              <w:spacing w:before="0" w:beforeAutospacing="0" w:after="0" w:afterAutospacing="0"/>
              <w:rPr>
                <w:lang w:val="uk-UA"/>
              </w:rPr>
            </w:pPr>
            <w:bookmarkStart w:id="149" w:name="202"/>
            <w:bookmarkEnd w:id="149"/>
            <w:r w:rsidRPr="0060059A">
              <w:rPr>
                <w:lang w:val="uk-UA"/>
              </w:rPr>
              <w:t>Дозування: _______________</w:t>
            </w:r>
          </w:p>
          <w:p w:rsidR="00FA55C4" w:rsidRPr="0060059A" w:rsidRDefault="00FA55C4" w:rsidP="005F1A9D">
            <w:pPr>
              <w:pStyle w:val="a4"/>
              <w:spacing w:before="0" w:beforeAutospacing="0" w:after="0" w:afterAutospacing="0"/>
              <w:rPr>
                <w:lang w:val="uk-UA"/>
              </w:rPr>
            </w:pPr>
            <w:bookmarkStart w:id="150" w:name="203"/>
            <w:bookmarkEnd w:id="150"/>
            <w:r w:rsidRPr="0060059A">
              <w:rPr>
                <w:lang w:val="uk-UA"/>
              </w:rPr>
              <w:t>Спосіб введення: _____________________________________________</w:t>
            </w:r>
          </w:p>
          <w:p w:rsidR="00FA55C4" w:rsidRPr="0060059A" w:rsidRDefault="00FA55C4" w:rsidP="005F1A9D">
            <w:pPr>
              <w:pStyle w:val="a4"/>
              <w:spacing w:before="0" w:beforeAutospacing="0" w:after="0" w:afterAutospacing="0"/>
              <w:rPr>
                <w:lang w:val="uk-UA"/>
              </w:rPr>
            </w:pPr>
            <w:bookmarkStart w:id="151" w:name="204"/>
            <w:bookmarkEnd w:id="151"/>
            <w:r w:rsidRPr="0060059A">
              <w:rPr>
                <w:lang w:val="uk-UA"/>
              </w:rPr>
              <w:t>Дата початку лікування: ____________</w:t>
            </w:r>
          </w:p>
          <w:p w:rsidR="00FA55C4" w:rsidRPr="0060059A" w:rsidRDefault="00FA55C4">
            <w:pPr>
              <w:pStyle w:val="a4"/>
              <w:rPr>
                <w:lang w:val="uk-UA"/>
              </w:rPr>
            </w:pPr>
            <w:bookmarkStart w:id="152" w:name="205"/>
            <w:bookmarkEnd w:id="152"/>
            <w:r w:rsidRPr="0060059A">
              <w:rPr>
                <w:b/>
                <w:bCs/>
                <w:lang w:val="uk-UA"/>
              </w:rPr>
              <w:t>Антибіотик 2</w:t>
            </w:r>
            <w:r w:rsidRPr="0060059A">
              <w:rPr>
                <w:lang w:val="uk-UA"/>
              </w:rPr>
              <w:t xml:space="preserve"> Назва препарату (діюча речовина): __________________________________________</w:t>
            </w:r>
          </w:p>
          <w:p w:rsidR="00FA55C4" w:rsidRPr="0060059A" w:rsidRDefault="00FA55C4" w:rsidP="005F1A9D">
            <w:pPr>
              <w:pStyle w:val="a4"/>
              <w:spacing w:before="0" w:beforeAutospacing="0" w:after="0" w:afterAutospacing="0"/>
              <w:rPr>
                <w:lang w:val="uk-UA"/>
              </w:rPr>
            </w:pPr>
            <w:bookmarkStart w:id="153" w:name="206"/>
            <w:bookmarkEnd w:id="153"/>
            <w:r w:rsidRPr="0060059A">
              <w:rPr>
                <w:lang w:val="uk-UA"/>
              </w:rPr>
              <w:t>Частота введення: ______________ раз на добу</w:t>
            </w:r>
          </w:p>
          <w:p w:rsidR="00FA55C4" w:rsidRPr="0060059A" w:rsidRDefault="00FA55C4" w:rsidP="005F1A9D">
            <w:pPr>
              <w:pStyle w:val="a4"/>
              <w:spacing w:before="0" w:beforeAutospacing="0" w:after="0" w:afterAutospacing="0"/>
              <w:rPr>
                <w:lang w:val="uk-UA"/>
              </w:rPr>
            </w:pPr>
            <w:bookmarkStart w:id="154" w:name="207"/>
            <w:bookmarkEnd w:id="154"/>
            <w:r w:rsidRPr="0060059A">
              <w:rPr>
                <w:lang w:val="uk-UA"/>
              </w:rPr>
              <w:t>Дозування: ________________</w:t>
            </w:r>
          </w:p>
          <w:p w:rsidR="00FA55C4" w:rsidRPr="0060059A" w:rsidRDefault="00FA55C4" w:rsidP="005F1A9D">
            <w:pPr>
              <w:pStyle w:val="a4"/>
              <w:spacing w:before="0" w:beforeAutospacing="0" w:after="0" w:afterAutospacing="0"/>
              <w:rPr>
                <w:lang w:val="uk-UA"/>
              </w:rPr>
            </w:pPr>
            <w:bookmarkStart w:id="155" w:name="208"/>
            <w:bookmarkEnd w:id="155"/>
            <w:r w:rsidRPr="0060059A">
              <w:rPr>
                <w:lang w:val="uk-UA"/>
              </w:rPr>
              <w:t>Спосіб введення: ______________________________________________</w:t>
            </w:r>
          </w:p>
          <w:p w:rsidR="00FA55C4" w:rsidRPr="0060059A" w:rsidRDefault="00FA55C4" w:rsidP="005F1A9D">
            <w:pPr>
              <w:pStyle w:val="a4"/>
              <w:spacing w:before="0" w:beforeAutospacing="0" w:after="0" w:afterAutospacing="0"/>
              <w:rPr>
                <w:lang w:val="uk-UA"/>
              </w:rPr>
            </w:pPr>
            <w:bookmarkStart w:id="156" w:name="209"/>
            <w:bookmarkEnd w:id="156"/>
            <w:r w:rsidRPr="0060059A">
              <w:rPr>
                <w:lang w:val="uk-UA"/>
              </w:rPr>
              <w:t>Дата початку лікування: ____________</w:t>
            </w:r>
          </w:p>
          <w:p w:rsidR="00FA55C4" w:rsidRPr="0060059A" w:rsidRDefault="00FA55C4">
            <w:pPr>
              <w:pStyle w:val="a4"/>
              <w:rPr>
                <w:lang w:val="uk-UA"/>
              </w:rPr>
            </w:pPr>
            <w:bookmarkStart w:id="157" w:name="210"/>
            <w:bookmarkEnd w:id="157"/>
            <w:r w:rsidRPr="0060059A">
              <w:rPr>
                <w:b/>
                <w:bCs/>
                <w:lang w:val="uk-UA"/>
              </w:rPr>
              <w:t>Антибіотик 3</w:t>
            </w:r>
            <w:r w:rsidRPr="0060059A">
              <w:rPr>
                <w:lang w:val="uk-UA"/>
              </w:rPr>
              <w:t xml:space="preserve"> Назва препарату (діюча речовина): __________________________________________</w:t>
            </w:r>
          </w:p>
          <w:p w:rsidR="00FA55C4" w:rsidRPr="0060059A" w:rsidRDefault="00FA55C4" w:rsidP="005F1A9D">
            <w:pPr>
              <w:pStyle w:val="a4"/>
              <w:spacing w:before="0" w:beforeAutospacing="0" w:after="0" w:afterAutospacing="0"/>
              <w:rPr>
                <w:lang w:val="uk-UA"/>
              </w:rPr>
            </w:pPr>
            <w:bookmarkStart w:id="158" w:name="211"/>
            <w:bookmarkEnd w:id="158"/>
            <w:r w:rsidRPr="0060059A">
              <w:rPr>
                <w:lang w:val="uk-UA"/>
              </w:rPr>
              <w:t>Частота введення: ______________ раз на добу</w:t>
            </w:r>
          </w:p>
          <w:p w:rsidR="00FA55C4" w:rsidRPr="0060059A" w:rsidRDefault="00FA55C4" w:rsidP="005F1A9D">
            <w:pPr>
              <w:pStyle w:val="a4"/>
              <w:spacing w:before="0" w:beforeAutospacing="0" w:after="0" w:afterAutospacing="0"/>
              <w:rPr>
                <w:lang w:val="uk-UA"/>
              </w:rPr>
            </w:pPr>
            <w:bookmarkStart w:id="159" w:name="212"/>
            <w:bookmarkEnd w:id="159"/>
            <w:r w:rsidRPr="0060059A">
              <w:rPr>
                <w:lang w:val="uk-UA"/>
              </w:rPr>
              <w:t>Дозування: _________________</w:t>
            </w:r>
          </w:p>
          <w:p w:rsidR="00FA55C4" w:rsidRPr="0060059A" w:rsidRDefault="00FA55C4" w:rsidP="005F1A9D">
            <w:pPr>
              <w:pStyle w:val="a4"/>
              <w:spacing w:before="0" w:beforeAutospacing="0" w:after="0" w:afterAutospacing="0"/>
              <w:rPr>
                <w:lang w:val="uk-UA"/>
              </w:rPr>
            </w:pPr>
            <w:bookmarkStart w:id="160" w:name="213"/>
            <w:bookmarkEnd w:id="160"/>
            <w:r w:rsidRPr="0060059A">
              <w:rPr>
                <w:lang w:val="uk-UA"/>
              </w:rPr>
              <w:t>Спосіб введення: ______________________________________________</w:t>
            </w:r>
          </w:p>
          <w:p w:rsidR="00FA55C4" w:rsidRPr="0060059A" w:rsidRDefault="00FA55C4" w:rsidP="005F1A9D">
            <w:pPr>
              <w:pStyle w:val="a4"/>
              <w:spacing w:before="0" w:beforeAutospacing="0" w:after="0" w:afterAutospacing="0"/>
              <w:rPr>
                <w:lang w:val="uk-UA"/>
              </w:rPr>
            </w:pPr>
            <w:bookmarkStart w:id="161" w:name="214"/>
            <w:bookmarkEnd w:id="161"/>
            <w:r w:rsidRPr="0060059A">
              <w:rPr>
                <w:lang w:val="uk-UA"/>
              </w:rPr>
              <w:t>Дата початку лікування: ____________</w:t>
            </w:r>
          </w:p>
        </w:tc>
      </w:tr>
    </w:tbl>
    <w:p w:rsidR="00FA55C4" w:rsidRPr="0060059A" w:rsidRDefault="00FA55C4" w:rsidP="0060059A">
      <w:pPr>
        <w:rPr>
          <w:lang w:val="uk-UA"/>
        </w:rPr>
      </w:pPr>
      <w:bookmarkStart w:id="162" w:name="215"/>
      <w:bookmarkEnd w:id="162"/>
    </w:p>
    <w:p w:rsidR="00FA55C4" w:rsidRPr="00ED7D3B" w:rsidRDefault="00FA55C4"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p>
    <w:p w:rsidR="00ED7D3B" w:rsidRPr="00ED7D3B" w:rsidRDefault="00ED7D3B" w:rsidP="00ED7D3B">
      <w:pPr>
        <w:spacing w:after="0" w:line="240" w:lineRule="auto"/>
        <w:rPr>
          <w:rFonts w:ascii="Times New Roman" w:eastAsia="Times New Roman" w:hAnsi="Times New Roman" w:cs="Times New Roman"/>
          <w:sz w:val="24"/>
          <w:szCs w:val="24"/>
          <w:lang w:eastAsia="ru-RU"/>
        </w:rPr>
      </w:pPr>
      <w:bookmarkStart w:id="163" w:name="n170"/>
      <w:bookmarkEnd w:id="163"/>
      <w:r w:rsidRPr="00ED7D3B">
        <w:rPr>
          <w:rFonts w:ascii="Times New Roman" w:eastAsia="Times New Roman" w:hAnsi="Times New Roman" w:cs="Times New Roman"/>
          <w:sz w:val="24"/>
          <w:szCs w:val="24"/>
          <w:lang w:eastAsia="ru-RU"/>
        </w:rPr>
        <w:pict>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ED7D3B" w:rsidRPr="00ED7D3B" w:rsidTr="00ED7D3B">
        <w:tc>
          <w:tcPr>
            <w:tcW w:w="225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64" w:name="n132"/>
            <w:bookmarkEnd w:id="164"/>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Додаток 3</w:t>
            </w:r>
            <w:r w:rsidRPr="00ED7D3B">
              <w:rPr>
                <w:rFonts w:ascii="Times New Roman" w:eastAsia="Times New Roman" w:hAnsi="Times New Roman" w:cs="Times New Roman"/>
                <w:sz w:val="24"/>
                <w:szCs w:val="24"/>
                <w:lang w:eastAsia="ru-RU"/>
              </w:rPr>
              <w:br/>
              <w:t>до Порядку здійснення дозорного</w:t>
            </w:r>
            <w:r w:rsidRPr="00ED7D3B">
              <w:rPr>
                <w:rFonts w:ascii="Times New Roman" w:eastAsia="Times New Roman" w:hAnsi="Times New Roman" w:cs="Times New Roman"/>
                <w:sz w:val="24"/>
                <w:szCs w:val="24"/>
                <w:lang w:eastAsia="ru-RU"/>
              </w:rPr>
              <w:br/>
              <w:t>епідеміологічного нагляду</w:t>
            </w:r>
            <w:r w:rsidRPr="00ED7D3B">
              <w:rPr>
                <w:rFonts w:ascii="Times New Roman" w:eastAsia="Times New Roman" w:hAnsi="Times New Roman" w:cs="Times New Roman"/>
                <w:sz w:val="24"/>
                <w:szCs w:val="24"/>
                <w:lang w:eastAsia="ru-RU"/>
              </w:rPr>
              <w:br/>
              <w:t xml:space="preserve">за протимікробною </w:t>
            </w:r>
            <w:proofErr w:type="gramStart"/>
            <w:r w:rsidRPr="00ED7D3B">
              <w:rPr>
                <w:rFonts w:ascii="Times New Roman" w:eastAsia="Times New Roman" w:hAnsi="Times New Roman" w:cs="Times New Roman"/>
                <w:sz w:val="24"/>
                <w:szCs w:val="24"/>
                <w:lang w:eastAsia="ru-RU"/>
              </w:rPr>
              <w:t>резистентністю</w:t>
            </w:r>
            <w:r w:rsidRPr="00ED7D3B">
              <w:rPr>
                <w:rFonts w:ascii="Times New Roman" w:eastAsia="Times New Roman" w:hAnsi="Times New Roman" w:cs="Times New Roman"/>
                <w:sz w:val="24"/>
                <w:szCs w:val="24"/>
                <w:lang w:eastAsia="ru-RU"/>
              </w:rPr>
              <w:br/>
              <w:t>(</w:t>
            </w:r>
            <w:proofErr w:type="gramEnd"/>
            <w:r w:rsidRPr="00ED7D3B">
              <w:rPr>
                <w:rFonts w:ascii="Times New Roman" w:eastAsia="Times New Roman" w:hAnsi="Times New Roman" w:cs="Times New Roman"/>
                <w:sz w:val="24"/>
                <w:szCs w:val="24"/>
                <w:lang w:eastAsia="ru-RU"/>
              </w:rPr>
              <w:t>підпункт 5 пункту 4 розділу II)</w:t>
            </w:r>
          </w:p>
        </w:tc>
      </w:tr>
    </w:tbl>
    <w:p w:rsidR="00ED7D3B" w:rsidRP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65" w:name="n133"/>
      <w:bookmarkEnd w:id="165"/>
      <w:r w:rsidRPr="00ED7D3B">
        <w:rPr>
          <w:rFonts w:ascii="Times New Roman" w:eastAsia="Times New Roman" w:hAnsi="Times New Roman" w:cs="Times New Roman"/>
          <w:b/>
          <w:bCs/>
          <w:color w:val="333333"/>
          <w:sz w:val="28"/>
          <w:szCs w:val="28"/>
          <w:lang w:eastAsia="ru-RU"/>
        </w:rPr>
        <w:t>КОМБІНАЦІЇ «ПАТОГЕН/ДЖЕРЕЛО/</w:t>
      </w:r>
      <w:proofErr w:type="gramStart"/>
      <w:r w:rsidRPr="00ED7D3B">
        <w:rPr>
          <w:rFonts w:ascii="Times New Roman" w:eastAsia="Times New Roman" w:hAnsi="Times New Roman" w:cs="Times New Roman"/>
          <w:b/>
          <w:bCs/>
          <w:color w:val="333333"/>
          <w:sz w:val="28"/>
          <w:szCs w:val="28"/>
          <w:lang w:eastAsia="ru-RU"/>
        </w:rPr>
        <w:t>АНТИБІОТИК»</w:t>
      </w:r>
      <w:r w:rsidRPr="00ED7D3B">
        <w:rPr>
          <w:rFonts w:ascii="Times New Roman" w:eastAsia="Times New Roman" w:hAnsi="Times New Roman" w:cs="Times New Roman"/>
          <w:color w:val="333333"/>
          <w:sz w:val="24"/>
          <w:szCs w:val="24"/>
          <w:lang w:eastAsia="ru-RU"/>
        </w:rPr>
        <w:br/>
      </w:r>
      <w:r w:rsidRPr="00ED7D3B">
        <w:rPr>
          <w:rFonts w:ascii="Times New Roman" w:eastAsia="Times New Roman" w:hAnsi="Times New Roman" w:cs="Times New Roman"/>
          <w:b/>
          <w:bCs/>
          <w:color w:val="333333"/>
          <w:sz w:val="28"/>
          <w:szCs w:val="28"/>
          <w:lang w:eastAsia="ru-RU"/>
        </w:rPr>
        <w:t>для</w:t>
      </w:r>
      <w:proofErr w:type="gramEnd"/>
      <w:r w:rsidRPr="00ED7D3B">
        <w:rPr>
          <w:rFonts w:ascii="Times New Roman" w:eastAsia="Times New Roman" w:hAnsi="Times New Roman" w:cs="Times New Roman"/>
          <w:b/>
          <w:bCs/>
          <w:color w:val="333333"/>
          <w:sz w:val="28"/>
          <w:szCs w:val="28"/>
          <w:lang w:eastAsia="ru-RU"/>
        </w:rPr>
        <w:t xml:space="preserve"> повідомлення Національному координатору, включаючи </w:t>
      </w:r>
      <w:r w:rsidRPr="00ED7D3B">
        <w:rPr>
          <w:rFonts w:ascii="Times New Roman" w:eastAsia="Times New Roman" w:hAnsi="Times New Roman" w:cs="Times New Roman"/>
          <w:b/>
          <w:bCs/>
          <w:color w:val="333333"/>
          <w:sz w:val="28"/>
          <w:szCs w:val="28"/>
          <w:lang w:eastAsia="ru-RU"/>
        </w:rPr>
        <w:lastRenderedPageBreak/>
        <w:t>мінімальну набір/панель і рекомендації EUCAST для визначення механізмів стійкості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43"/>
        <w:gridCol w:w="2185"/>
        <w:gridCol w:w="4811"/>
      </w:tblGrid>
      <w:tr w:rsidR="00ED7D3B" w:rsidRPr="00ED7D3B" w:rsidTr="00ED7D3B">
        <w:trPr>
          <w:trHeight w:val="60"/>
        </w:trPr>
        <w:tc>
          <w:tcPr>
            <w:tcW w:w="2100" w:type="dxa"/>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bookmarkStart w:id="166" w:name="n134"/>
            <w:bookmarkEnd w:id="166"/>
            <w:r w:rsidRPr="00ED7D3B">
              <w:rPr>
                <w:rFonts w:ascii="Times New Roman" w:eastAsia="Times New Roman" w:hAnsi="Times New Roman" w:cs="Times New Roman"/>
                <w:sz w:val="24"/>
                <w:szCs w:val="24"/>
                <w:lang w:eastAsia="ru-RU"/>
              </w:rPr>
              <w:t>Мікроорганізм</w:t>
            </w:r>
          </w:p>
        </w:tc>
        <w:tc>
          <w:tcPr>
            <w:tcW w:w="2385"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Мінімальний набір антибіотиків для тестування</w:t>
            </w:r>
          </w:p>
        </w:tc>
        <w:tc>
          <w:tcPr>
            <w:tcW w:w="483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Антибіотики (групи), що вносять в базу даних CAESAR</w:t>
            </w:r>
          </w:p>
        </w:tc>
      </w:tr>
      <w:tr w:rsidR="00ED7D3B" w:rsidRPr="00ED7D3B" w:rsidTr="00ED7D3B">
        <w:trPr>
          <w:trHeight w:val="60"/>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val="en-US" w:eastAsia="ru-RU"/>
              </w:rPr>
            </w:pPr>
            <w:r w:rsidRPr="00ED7D3B">
              <w:rPr>
                <w:rFonts w:ascii="Times New Roman" w:eastAsia="Times New Roman" w:hAnsi="Times New Roman" w:cs="Times New Roman"/>
                <w:i/>
                <w:iCs/>
                <w:sz w:val="24"/>
                <w:szCs w:val="24"/>
                <w:lang w:val="en-US" w:eastAsia="ru-RU"/>
              </w:rPr>
              <w:t>Escherichia coli</w:t>
            </w:r>
            <w:r w:rsidRPr="00ED7D3B">
              <w:rPr>
                <w:rFonts w:ascii="Times New Roman" w:eastAsia="Times New Roman" w:hAnsi="Times New Roman" w:cs="Times New Roman"/>
                <w:sz w:val="24"/>
                <w:szCs w:val="24"/>
                <w:lang w:val="en-US" w:eastAsia="ru-RU"/>
              </w:rPr>
              <w:t xml:space="preserve"> (ESCCOL) </w:t>
            </w:r>
            <w:r w:rsidRPr="00ED7D3B">
              <w:rPr>
                <w:rFonts w:ascii="Times New Roman" w:eastAsia="Times New Roman" w:hAnsi="Times New Roman" w:cs="Times New Roman"/>
                <w:sz w:val="24"/>
                <w:szCs w:val="24"/>
                <w:lang w:eastAsia="ru-RU"/>
              </w:rPr>
              <w:t>та</w:t>
            </w:r>
            <w:r w:rsidRPr="00ED7D3B">
              <w:rPr>
                <w:rFonts w:ascii="Times New Roman" w:eastAsia="Times New Roman" w:hAnsi="Times New Roman" w:cs="Times New Roman"/>
                <w:sz w:val="24"/>
                <w:szCs w:val="24"/>
                <w:lang w:val="en-US" w:eastAsia="ru-RU"/>
              </w:rPr>
              <w:t> </w:t>
            </w:r>
            <w:r w:rsidRPr="00ED7D3B">
              <w:rPr>
                <w:rFonts w:ascii="Times New Roman" w:eastAsia="Times New Roman" w:hAnsi="Times New Roman" w:cs="Times New Roman"/>
                <w:i/>
                <w:iCs/>
                <w:sz w:val="24"/>
                <w:szCs w:val="24"/>
                <w:lang w:val="en-US" w:eastAsia="ru-RU"/>
              </w:rPr>
              <w:t>Klebsiella pneumoniae</w:t>
            </w:r>
            <w:r w:rsidRPr="00ED7D3B">
              <w:rPr>
                <w:rFonts w:ascii="Times New Roman" w:eastAsia="Times New Roman" w:hAnsi="Times New Roman" w:cs="Times New Roman"/>
                <w:sz w:val="24"/>
                <w:szCs w:val="24"/>
                <w:lang w:val="en-US" w:eastAsia="ru-RU"/>
              </w:rPr>
              <w:t> (KLEPNE)</w:t>
            </w: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AMP або AMX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Ампіцилін/амоксицилін (ESCCOL тільки)</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AMC</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Амоксицилін - клавуланова кислота</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TZP</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Піперацилін - тазобактам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CTX або CRO</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Цефотаксим/цефтріаксон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CAZ</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Цефтазидим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GEN або TOB</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Гентаміцин/тобраміцин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AMK</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Амікацин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CIP або LVX або OFX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Ципрофлоксацин/левофлоксацин/офлоксацин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IPM або MEM</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Іміпенем/меропенем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ETP</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Ертапенем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COL або POL (обидва базовані на MIК)</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Колістин / поліміксин B</w:t>
            </w:r>
          </w:p>
        </w:tc>
      </w:tr>
      <w:tr w:rsidR="00ED7D3B" w:rsidRPr="00ED7D3B" w:rsidTr="00ED7D3B">
        <w:trPr>
          <w:trHeight w:val="60"/>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i/>
                <w:iCs/>
                <w:sz w:val="24"/>
                <w:szCs w:val="24"/>
                <w:lang w:eastAsia="ru-RU"/>
              </w:rPr>
              <w:t>Salmonella</w:t>
            </w:r>
            <w:r w:rsidRPr="00ED7D3B">
              <w:rPr>
                <w:rFonts w:ascii="Times New Roman" w:eastAsia="Times New Roman" w:hAnsi="Times New Roman" w:cs="Times New Roman"/>
                <w:sz w:val="24"/>
                <w:szCs w:val="24"/>
                <w:lang w:eastAsia="ru-RU"/>
              </w:rPr>
              <w:t> spp.</w:t>
            </w:r>
          </w:p>
        </w:tc>
        <w:tc>
          <w:tcPr>
            <w:tcW w:w="2385" w:type="dxa"/>
            <w:tcBorders>
              <w:top w:val="single" w:sz="6" w:space="0" w:color="000000"/>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CTX або CRO</w:t>
            </w:r>
          </w:p>
        </w:tc>
        <w:tc>
          <w:tcPr>
            <w:tcW w:w="4830" w:type="dxa"/>
            <w:tcBorders>
              <w:top w:val="single" w:sz="6" w:space="0" w:color="000000"/>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Цефотаксим/цефтріаксон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CAZ</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Цефтазидим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CIP (базовані на МІК) або LVX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Ципрофлоксацин/левофлоксацин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IPM або MEM</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Іміпенем/меропенем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ETP</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Ертапенем</w:t>
            </w:r>
          </w:p>
        </w:tc>
      </w:tr>
      <w:tr w:rsidR="00ED7D3B" w:rsidRPr="00ED7D3B" w:rsidTr="00ED7D3B">
        <w:trPr>
          <w:trHeight w:val="60"/>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i/>
                <w:iCs/>
                <w:sz w:val="24"/>
                <w:szCs w:val="24"/>
                <w:lang w:eastAsia="ru-RU"/>
              </w:rPr>
              <w:t>Pseudomonas aeruginosa</w:t>
            </w:r>
            <w:r w:rsidRPr="00ED7D3B">
              <w:rPr>
                <w:rFonts w:ascii="Times New Roman" w:eastAsia="Times New Roman" w:hAnsi="Times New Roman" w:cs="Times New Roman"/>
                <w:sz w:val="24"/>
                <w:szCs w:val="24"/>
                <w:lang w:eastAsia="ru-RU"/>
              </w:rPr>
              <w:t> (PSEAER)</w:t>
            </w:r>
          </w:p>
        </w:tc>
        <w:tc>
          <w:tcPr>
            <w:tcW w:w="2385" w:type="dxa"/>
            <w:tcBorders>
              <w:top w:val="single" w:sz="6" w:space="0" w:color="000000"/>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TZP</w:t>
            </w:r>
          </w:p>
        </w:tc>
        <w:tc>
          <w:tcPr>
            <w:tcW w:w="4830" w:type="dxa"/>
            <w:tcBorders>
              <w:top w:val="single" w:sz="6" w:space="0" w:color="000000"/>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Піперацилін - тазобактам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CAZ</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Цефтазидим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FEP</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Цефепім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GEN або TOB</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Гентаміцин/тобраміцин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AMK</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Амікацин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CIP або LVX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Ципрофлоксацин/левофлоксацин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IPM або MEM</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Іміпенем/меропенем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COL або POL (обидва базовані на МІК)</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Колістин / поліміксин B</w:t>
            </w:r>
          </w:p>
        </w:tc>
      </w:tr>
      <w:tr w:rsidR="00ED7D3B" w:rsidRPr="00ED7D3B" w:rsidTr="00ED7D3B">
        <w:trPr>
          <w:trHeight w:val="60"/>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i/>
                <w:iCs/>
                <w:sz w:val="24"/>
                <w:szCs w:val="24"/>
                <w:lang w:eastAsia="ru-RU"/>
              </w:rPr>
              <w:t>Acinetobacter</w:t>
            </w:r>
            <w:r w:rsidRPr="00ED7D3B">
              <w:rPr>
                <w:rFonts w:ascii="Times New Roman" w:eastAsia="Times New Roman" w:hAnsi="Times New Roman" w:cs="Times New Roman"/>
                <w:sz w:val="24"/>
                <w:szCs w:val="24"/>
                <w:lang w:eastAsia="ru-RU"/>
              </w:rPr>
              <w:t> spp. (ACISPP)</w:t>
            </w:r>
          </w:p>
        </w:tc>
        <w:tc>
          <w:tcPr>
            <w:tcW w:w="2385" w:type="dxa"/>
            <w:tcBorders>
              <w:top w:val="single" w:sz="6" w:space="0" w:color="000000"/>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GEN або TOB</w:t>
            </w:r>
          </w:p>
        </w:tc>
        <w:tc>
          <w:tcPr>
            <w:tcW w:w="4830" w:type="dxa"/>
            <w:tcBorders>
              <w:top w:val="single" w:sz="6" w:space="0" w:color="000000"/>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Гентаміцин/тобраміцин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AMK</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Амікацин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CIP або LVX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Ципрофлоксацин/левофлоксацин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IPM або MEM</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Іміпенем/меропенем</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COL або POL (обидва базовані на МІК)</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Колістин / поліміксин B</w:t>
            </w:r>
          </w:p>
        </w:tc>
      </w:tr>
      <w:tr w:rsidR="00ED7D3B" w:rsidRPr="00ED7D3B" w:rsidTr="00ED7D3B">
        <w:trPr>
          <w:trHeight w:val="60"/>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i/>
                <w:iCs/>
                <w:sz w:val="24"/>
                <w:szCs w:val="24"/>
                <w:lang w:eastAsia="ru-RU"/>
              </w:rPr>
              <w:t>Staphylococcus aureus</w:t>
            </w:r>
            <w:r w:rsidRPr="00ED7D3B">
              <w:rPr>
                <w:rFonts w:ascii="Times New Roman" w:eastAsia="Times New Roman" w:hAnsi="Times New Roman" w:cs="Times New Roman"/>
                <w:sz w:val="24"/>
                <w:szCs w:val="24"/>
                <w:lang w:eastAsia="ru-RU"/>
              </w:rPr>
              <w:t> (STAAUR)</w:t>
            </w:r>
          </w:p>
        </w:tc>
        <w:tc>
          <w:tcPr>
            <w:tcW w:w="2385" w:type="dxa"/>
            <w:tcBorders>
              <w:top w:val="single" w:sz="6" w:space="0" w:color="000000"/>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FOX (скрініг) або OXA</w:t>
            </w:r>
          </w:p>
        </w:tc>
        <w:tc>
          <w:tcPr>
            <w:tcW w:w="4830" w:type="dxa"/>
            <w:tcBorders>
              <w:top w:val="single" w:sz="6" w:space="0" w:color="000000"/>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MRSA</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CIP або LVX або OFX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Ципрофлоксацин/левофлоксацин/офлоксацин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VAN (базовані на МІК)</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Ванкоміцин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LNZ</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Лінезолід</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RIF</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Рифампіцин</w:t>
            </w:r>
          </w:p>
        </w:tc>
      </w:tr>
      <w:tr w:rsidR="00ED7D3B" w:rsidRPr="00ED7D3B" w:rsidTr="00ED7D3B">
        <w:trPr>
          <w:trHeight w:val="426"/>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i/>
                <w:iCs/>
                <w:sz w:val="24"/>
                <w:szCs w:val="24"/>
                <w:lang w:eastAsia="ru-RU"/>
              </w:rPr>
              <w:t>Streptococcus pneumoniae</w:t>
            </w:r>
            <w:r w:rsidRPr="00ED7D3B">
              <w:rPr>
                <w:rFonts w:ascii="Times New Roman" w:eastAsia="Times New Roman" w:hAnsi="Times New Roman" w:cs="Times New Roman"/>
                <w:sz w:val="24"/>
                <w:szCs w:val="24"/>
                <w:lang w:eastAsia="ru-RU"/>
              </w:rPr>
              <w:t> (STRPNE)</w:t>
            </w:r>
          </w:p>
        </w:tc>
        <w:tc>
          <w:tcPr>
            <w:tcW w:w="2385" w:type="dxa"/>
            <w:vMerge w:val="restart"/>
            <w:tcBorders>
              <w:top w:val="single" w:sz="6" w:space="0" w:color="000000"/>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OXA (скрінінг) та PEN (базовані на МІК) якщо OXA=R</w:t>
            </w:r>
          </w:p>
        </w:tc>
        <w:tc>
          <w:tcPr>
            <w:tcW w:w="4830" w:type="dxa"/>
            <w:vMerge w:val="restart"/>
            <w:tcBorders>
              <w:top w:val="single" w:sz="6" w:space="0" w:color="000000"/>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Пеніцилін</w:t>
            </w:r>
          </w:p>
        </w:tc>
      </w:tr>
      <w:tr w:rsidR="00ED7D3B" w:rsidRPr="00ED7D3B" w:rsidTr="00ED7D3B">
        <w:trPr>
          <w:trHeight w:val="276"/>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nil"/>
              <w:right w:val="nil"/>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ERY або CLR або AZM</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Еритроміцин/кларитроміцин/азитроміцин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CTX або CRO (обидва базовані на МІК)</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Цефотаксим/цефтріаксон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LVX або MFX</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Левофлоксацин/моксифлоксацин</w:t>
            </w:r>
          </w:p>
        </w:tc>
      </w:tr>
      <w:tr w:rsidR="00ED7D3B" w:rsidRPr="00ED7D3B" w:rsidTr="00ED7D3B">
        <w:trPr>
          <w:trHeight w:val="60"/>
        </w:trPr>
        <w:tc>
          <w:tcPr>
            <w:tcW w:w="21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val="en-US" w:eastAsia="ru-RU"/>
              </w:rPr>
            </w:pPr>
            <w:r w:rsidRPr="00ED7D3B">
              <w:rPr>
                <w:rFonts w:ascii="Times New Roman" w:eastAsia="Times New Roman" w:hAnsi="Times New Roman" w:cs="Times New Roman"/>
                <w:i/>
                <w:iCs/>
                <w:sz w:val="24"/>
                <w:szCs w:val="24"/>
                <w:lang w:val="en-US" w:eastAsia="ru-RU"/>
              </w:rPr>
              <w:t>Enterococcus faecalis</w:t>
            </w:r>
            <w:r w:rsidRPr="00ED7D3B">
              <w:rPr>
                <w:rFonts w:ascii="Times New Roman" w:eastAsia="Times New Roman" w:hAnsi="Times New Roman" w:cs="Times New Roman"/>
                <w:sz w:val="24"/>
                <w:szCs w:val="24"/>
                <w:lang w:val="en-US" w:eastAsia="ru-RU"/>
              </w:rPr>
              <w:t xml:space="preserve"> (ENCFAE) </w:t>
            </w:r>
            <w:r w:rsidRPr="00ED7D3B">
              <w:rPr>
                <w:rFonts w:ascii="Times New Roman" w:eastAsia="Times New Roman" w:hAnsi="Times New Roman" w:cs="Times New Roman"/>
                <w:sz w:val="24"/>
                <w:szCs w:val="24"/>
                <w:lang w:eastAsia="ru-RU"/>
              </w:rPr>
              <w:t>та</w:t>
            </w:r>
            <w:r w:rsidRPr="00ED7D3B">
              <w:rPr>
                <w:rFonts w:ascii="Times New Roman" w:eastAsia="Times New Roman" w:hAnsi="Times New Roman" w:cs="Times New Roman"/>
                <w:sz w:val="24"/>
                <w:szCs w:val="24"/>
                <w:lang w:val="en-US" w:eastAsia="ru-RU"/>
              </w:rPr>
              <w:t> </w:t>
            </w:r>
            <w:r w:rsidRPr="00ED7D3B">
              <w:rPr>
                <w:rFonts w:ascii="Times New Roman" w:eastAsia="Times New Roman" w:hAnsi="Times New Roman" w:cs="Times New Roman"/>
                <w:i/>
                <w:iCs/>
                <w:sz w:val="24"/>
                <w:szCs w:val="24"/>
                <w:lang w:val="en-US" w:eastAsia="ru-RU"/>
              </w:rPr>
              <w:t>Enterococcus faecium</w:t>
            </w:r>
            <w:r w:rsidRPr="00ED7D3B">
              <w:rPr>
                <w:rFonts w:ascii="Times New Roman" w:eastAsia="Times New Roman" w:hAnsi="Times New Roman" w:cs="Times New Roman"/>
                <w:sz w:val="24"/>
                <w:szCs w:val="24"/>
                <w:lang w:val="en-US" w:eastAsia="ru-RU"/>
              </w:rPr>
              <w:t> (ENCFAI)</w:t>
            </w:r>
          </w:p>
        </w:tc>
        <w:tc>
          <w:tcPr>
            <w:tcW w:w="2385" w:type="dxa"/>
            <w:tcBorders>
              <w:top w:val="single" w:sz="6" w:space="0" w:color="000000"/>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AMP або AMX</w:t>
            </w:r>
          </w:p>
        </w:tc>
        <w:tc>
          <w:tcPr>
            <w:tcW w:w="4830" w:type="dxa"/>
            <w:tcBorders>
              <w:top w:val="single" w:sz="6" w:space="0" w:color="000000"/>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Ампіцилін/амоксицилін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GEH</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Гентаміцин високого рівня</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VAN</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Ванкоміцин</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385" w:type="dxa"/>
            <w:tcBorders>
              <w:top w:val="nil"/>
              <w:left w:val="nil"/>
              <w:bottom w:val="nil"/>
              <w:right w:val="nil"/>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LNZ</w:t>
            </w:r>
          </w:p>
        </w:tc>
        <w:tc>
          <w:tcPr>
            <w:tcW w:w="4830" w:type="dxa"/>
            <w:tcBorders>
              <w:top w:val="nil"/>
              <w:left w:val="single" w:sz="6" w:space="0" w:color="000000"/>
              <w:bottom w:val="nil"/>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Лінезолід</w:t>
            </w:r>
          </w:p>
        </w:tc>
      </w:tr>
      <w:tr w:rsidR="00ED7D3B" w:rsidRPr="00ED7D3B" w:rsidTr="00ED7D3B">
        <w:trPr>
          <w:trHeight w:val="60"/>
        </w:trPr>
        <w:tc>
          <w:tcPr>
            <w:tcW w:w="2100" w:type="dxa"/>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Мікроорганізм</w:t>
            </w:r>
          </w:p>
        </w:tc>
        <w:tc>
          <w:tcPr>
            <w:tcW w:w="2385"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Мінімальний набір антибіотиків для тестування</w:t>
            </w:r>
          </w:p>
        </w:tc>
        <w:tc>
          <w:tcPr>
            <w:tcW w:w="483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b/>
                <w:bCs/>
                <w:sz w:val="24"/>
                <w:szCs w:val="24"/>
                <w:lang w:eastAsia="ru-RU"/>
              </w:rPr>
              <w:t>Антибіотики (групи), що вносять в базу даних CAESAR</w:t>
            </w:r>
          </w:p>
        </w:tc>
      </w:tr>
    </w:tbl>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67" w:name="n135"/>
      <w:bookmarkEnd w:id="167"/>
      <w:r w:rsidRPr="00ED7D3B">
        <w:rPr>
          <w:rFonts w:ascii="Times New Roman" w:eastAsia="Times New Roman" w:hAnsi="Times New Roman" w:cs="Times New Roman"/>
          <w:b/>
          <w:bCs/>
          <w:color w:val="333333"/>
          <w:sz w:val="24"/>
          <w:szCs w:val="24"/>
          <w:lang w:eastAsia="ru-RU"/>
        </w:rPr>
        <w:t>Міжнародні скорочення назв протимікробних препаратів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11"/>
        <w:gridCol w:w="2381"/>
        <w:gridCol w:w="726"/>
        <w:gridCol w:w="2526"/>
        <w:gridCol w:w="686"/>
        <w:gridCol w:w="2309"/>
      </w:tblGrid>
      <w:tr w:rsidR="00ED7D3B" w:rsidRPr="00ED7D3B" w:rsidTr="00ED7D3B">
        <w:trPr>
          <w:trHeight w:val="165"/>
        </w:trPr>
        <w:tc>
          <w:tcPr>
            <w:tcW w:w="570" w:type="dxa"/>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68" w:name="n136"/>
            <w:bookmarkEnd w:id="168"/>
            <w:r w:rsidRPr="00ED7D3B">
              <w:rPr>
                <w:rFonts w:ascii="Times New Roman" w:eastAsia="Times New Roman" w:hAnsi="Times New Roman" w:cs="Times New Roman"/>
                <w:sz w:val="24"/>
                <w:szCs w:val="24"/>
                <w:lang w:eastAsia="ru-RU"/>
              </w:rPr>
              <w:t>AMC</w:t>
            </w:r>
          </w:p>
        </w:tc>
        <w:tc>
          <w:tcPr>
            <w:tcW w:w="198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Амоксицилін-клавуланова кислота</w:t>
            </w:r>
          </w:p>
        </w:tc>
        <w:tc>
          <w:tcPr>
            <w:tcW w:w="57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ERY</w:t>
            </w:r>
          </w:p>
        </w:tc>
        <w:tc>
          <w:tcPr>
            <w:tcW w:w="210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Еритроміцин</w:t>
            </w:r>
          </w:p>
        </w:tc>
        <w:tc>
          <w:tcPr>
            <w:tcW w:w="57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MFX</w:t>
            </w:r>
          </w:p>
        </w:tc>
        <w:tc>
          <w:tcPr>
            <w:tcW w:w="192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Моксифлоксацин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AMK</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Амікацин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ETP</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Ертапенем</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OFX</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Офлоксацин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AMP</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Ампіцилін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FEP</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Цефепім</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OXA</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Оксацилін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AMX</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Амоксицилін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FOX</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Цефокситин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PEN</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Пеніцилін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AZM</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Азитроміцин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GEH</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Гентаміцин високої концентрації</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POL</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Поліміксин В</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CAZ</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Цефтазидим</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GEN</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Гентаміцин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RIF</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Ріфампіцин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CIP</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Ципрофлоксацин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IPM</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Іміпенем</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TOB</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Тобраміцин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CLR</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Кларитроміцин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LNZ</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Лінезолід</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TZP</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Піперацилін-тазобактам</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COL</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Колістин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LVX</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Левофлоксацин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VAN</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Ванкоміцин</w:t>
            </w:r>
          </w:p>
        </w:tc>
      </w:tr>
      <w:tr w:rsidR="00ED7D3B" w:rsidRPr="00ED7D3B" w:rsidTr="00ED7D3B">
        <w:trPr>
          <w:trHeight w:val="165"/>
        </w:trPr>
        <w:tc>
          <w:tcPr>
            <w:tcW w:w="570" w:type="dxa"/>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CRO</w:t>
            </w:r>
          </w:p>
        </w:tc>
        <w:tc>
          <w:tcPr>
            <w:tcW w:w="19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Цефтріаксон</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MEM</w:t>
            </w:r>
          </w:p>
        </w:tc>
        <w:tc>
          <w:tcPr>
            <w:tcW w:w="210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Меропенем</w:t>
            </w:r>
          </w:p>
        </w:tc>
        <w:tc>
          <w:tcPr>
            <w:tcW w:w="57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MFX</w:t>
            </w:r>
          </w:p>
        </w:tc>
        <w:tc>
          <w:tcPr>
            <w:tcW w:w="192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Моксіфлоксацин</w:t>
            </w:r>
          </w:p>
        </w:tc>
      </w:tr>
    </w:tbl>
    <w:p w:rsidR="00ED7D3B" w:rsidRPr="00ED7D3B" w:rsidRDefault="00ED7D3B" w:rsidP="00ED7D3B">
      <w:pPr>
        <w:spacing w:after="0" w:line="240" w:lineRule="auto"/>
        <w:rPr>
          <w:rFonts w:ascii="Times New Roman" w:eastAsia="Times New Roman" w:hAnsi="Times New Roman" w:cs="Times New Roman"/>
          <w:sz w:val="24"/>
          <w:szCs w:val="24"/>
          <w:lang w:eastAsia="ru-RU"/>
        </w:rPr>
      </w:pPr>
      <w:bookmarkStart w:id="169" w:name="n169"/>
      <w:bookmarkEnd w:id="169"/>
      <w:r w:rsidRPr="00ED7D3B">
        <w:rPr>
          <w:rFonts w:ascii="Times New Roman" w:eastAsia="Times New Roman" w:hAnsi="Times New Roman" w:cs="Times New Roman"/>
          <w:sz w:val="24"/>
          <w:szCs w:val="24"/>
          <w:lang w:eastAsia="ru-RU"/>
        </w:rPr>
        <w:pict>
          <v:rect id="_x0000_i1029"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ED7D3B" w:rsidRPr="00ED7D3B" w:rsidTr="00ED7D3B">
        <w:tc>
          <w:tcPr>
            <w:tcW w:w="225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bookmarkStart w:id="170" w:name="n137"/>
            <w:bookmarkEnd w:id="170"/>
          </w:p>
        </w:tc>
        <w:tc>
          <w:tcPr>
            <w:tcW w:w="2000" w:type="pct"/>
            <w:tcBorders>
              <w:top w:val="single" w:sz="2" w:space="0" w:color="auto"/>
              <w:left w:val="single" w:sz="2" w:space="0" w:color="auto"/>
              <w:bottom w:val="single" w:sz="2" w:space="0" w:color="auto"/>
              <w:right w:val="single" w:sz="2" w:space="0" w:color="auto"/>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Додаток 4</w:t>
            </w:r>
            <w:r w:rsidRPr="00ED7D3B">
              <w:rPr>
                <w:rFonts w:ascii="Times New Roman" w:eastAsia="Times New Roman" w:hAnsi="Times New Roman" w:cs="Times New Roman"/>
                <w:sz w:val="24"/>
                <w:szCs w:val="24"/>
                <w:lang w:eastAsia="ru-RU"/>
              </w:rPr>
              <w:br/>
              <w:t>до Порядку здійснення дозорного</w:t>
            </w:r>
            <w:r w:rsidRPr="00ED7D3B">
              <w:rPr>
                <w:rFonts w:ascii="Times New Roman" w:eastAsia="Times New Roman" w:hAnsi="Times New Roman" w:cs="Times New Roman"/>
                <w:sz w:val="24"/>
                <w:szCs w:val="24"/>
                <w:lang w:eastAsia="ru-RU"/>
              </w:rPr>
              <w:br/>
              <w:t>епідеміологічного нагляду</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lastRenderedPageBreak/>
              <w:t xml:space="preserve">за протимікробною </w:t>
            </w:r>
            <w:proofErr w:type="gramStart"/>
            <w:r w:rsidRPr="00ED7D3B">
              <w:rPr>
                <w:rFonts w:ascii="Times New Roman" w:eastAsia="Times New Roman" w:hAnsi="Times New Roman" w:cs="Times New Roman"/>
                <w:sz w:val="24"/>
                <w:szCs w:val="24"/>
                <w:lang w:eastAsia="ru-RU"/>
              </w:rPr>
              <w:t>резистентністю</w:t>
            </w:r>
            <w:r w:rsidRPr="00ED7D3B">
              <w:rPr>
                <w:rFonts w:ascii="Times New Roman" w:eastAsia="Times New Roman" w:hAnsi="Times New Roman" w:cs="Times New Roman"/>
                <w:sz w:val="24"/>
                <w:szCs w:val="24"/>
                <w:lang w:eastAsia="ru-RU"/>
              </w:rPr>
              <w:br/>
              <w:t>(</w:t>
            </w:r>
            <w:proofErr w:type="gramEnd"/>
            <w:r w:rsidRPr="00ED7D3B">
              <w:rPr>
                <w:rFonts w:ascii="Times New Roman" w:eastAsia="Times New Roman" w:hAnsi="Times New Roman" w:cs="Times New Roman"/>
                <w:sz w:val="24"/>
                <w:szCs w:val="24"/>
                <w:lang w:eastAsia="ru-RU"/>
              </w:rPr>
              <w:t>пункт 3 розділу III)</w:t>
            </w:r>
          </w:p>
        </w:tc>
      </w:tr>
    </w:tbl>
    <w:p w:rsidR="00ED7D3B" w:rsidRPr="00ED7D3B" w:rsidRDefault="00ED7D3B" w:rsidP="00ED7D3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1" w:name="n138"/>
      <w:bookmarkEnd w:id="171"/>
      <w:r w:rsidRPr="00ED7D3B">
        <w:rPr>
          <w:rFonts w:ascii="Times New Roman" w:eastAsia="Times New Roman" w:hAnsi="Times New Roman" w:cs="Times New Roman"/>
          <w:b/>
          <w:bCs/>
          <w:color w:val="333333"/>
          <w:sz w:val="28"/>
          <w:szCs w:val="28"/>
          <w:lang w:eastAsia="ru-RU"/>
        </w:rPr>
        <w:lastRenderedPageBreak/>
        <w:t>ДЖЕРЕЛА</w:t>
      </w:r>
      <w:r w:rsidRPr="00ED7D3B">
        <w:rPr>
          <w:rFonts w:ascii="Times New Roman" w:eastAsia="Times New Roman" w:hAnsi="Times New Roman" w:cs="Times New Roman"/>
          <w:color w:val="333333"/>
          <w:sz w:val="24"/>
          <w:szCs w:val="24"/>
          <w:lang w:eastAsia="ru-RU"/>
        </w:rPr>
        <w:br/>
      </w:r>
      <w:r w:rsidRPr="00ED7D3B">
        <w:rPr>
          <w:rFonts w:ascii="Times New Roman" w:eastAsia="Times New Roman" w:hAnsi="Times New Roman" w:cs="Times New Roman"/>
          <w:b/>
          <w:bCs/>
          <w:color w:val="333333"/>
          <w:sz w:val="28"/>
          <w:szCs w:val="28"/>
          <w:lang w:eastAsia="ru-RU"/>
        </w:rPr>
        <w:t>випадкових і систематичних помилок в даних дозорного епіднагляду за стійкістю до протимікробних препаратів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03"/>
        <w:gridCol w:w="1989"/>
        <w:gridCol w:w="2931"/>
        <w:gridCol w:w="2916"/>
      </w:tblGrid>
      <w:tr w:rsidR="00ED7D3B" w:rsidRPr="00ED7D3B" w:rsidTr="00ED7D3B">
        <w:trPr>
          <w:trHeight w:val="60"/>
        </w:trPr>
        <w:tc>
          <w:tcPr>
            <w:tcW w:w="1200" w:type="dxa"/>
            <w:vMerge w:val="restart"/>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bookmarkStart w:id="172" w:name="n139"/>
            <w:bookmarkEnd w:id="172"/>
            <w:r w:rsidRPr="00ED7D3B">
              <w:rPr>
                <w:rFonts w:ascii="Times New Roman" w:eastAsia="Times New Roman" w:hAnsi="Times New Roman" w:cs="Times New Roman"/>
                <w:sz w:val="24"/>
                <w:szCs w:val="24"/>
                <w:lang w:eastAsia="ru-RU"/>
              </w:rPr>
              <w:t>Випадкова помилка</w:t>
            </w:r>
          </w:p>
        </w:tc>
        <w:tc>
          <w:tcPr>
            <w:tcW w:w="1965"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Тип помилки/</w:t>
            </w:r>
            <w:r w:rsidRPr="00ED7D3B">
              <w:rPr>
                <w:rFonts w:ascii="Times New Roman" w:eastAsia="Times New Roman" w:hAnsi="Times New Roman" w:cs="Times New Roman"/>
                <w:sz w:val="24"/>
                <w:szCs w:val="24"/>
                <w:lang w:eastAsia="ru-RU"/>
              </w:rPr>
              <w:br/>
              <w:t>зміщення</w:t>
            </w:r>
          </w:p>
        </w:tc>
        <w:tc>
          <w:tcPr>
            <w:tcW w:w="2895"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Механізм</w:t>
            </w:r>
          </w:p>
        </w:tc>
        <w:tc>
          <w:tcPr>
            <w:tcW w:w="2880" w:type="dxa"/>
            <w:tcBorders>
              <w:top w:val="single" w:sz="6" w:space="0" w:color="000000"/>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Рішення проблеми</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Варіації відбору</w:t>
            </w:r>
          </w:p>
        </w:tc>
        <w:tc>
          <w:tcPr>
            <w:tcW w:w="289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Випадковий збіг обставин</w:t>
            </w:r>
          </w:p>
        </w:tc>
        <w:tc>
          <w:tcPr>
            <w:tcW w:w="28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Збільшення розміру вибірки</w:t>
            </w:r>
          </w:p>
        </w:tc>
      </w:tr>
      <w:tr w:rsidR="00ED7D3B" w:rsidRPr="00ED7D3B" w:rsidTr="00ED7D3B">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Варіація вимірювання</w:t>
            </w:r>
          </w:p>
        </w:tc>
        <w:tc>
          <w:tcPr>
            <w:tcW w:w="289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Спосіб застосування лабораторних методик змінюється від тесту до тесту</w:t>
            </w:r>
          </w:p>
        </w:tc>
        <w:tc>
          <w:tcPr>
            <w:tcW w:w="28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Збільшення розміру вибірки</w:t>
            </w:r>
            <w:r w:rsidRPr="00ED7D3B">
              <w:rPr>
                <w:rFonts w:ascii="Times New Roman" w:eastAsia="Times New Roman" w:hAnsi="Times New Roman" w:cs="Times New Roman"/>
                <w:sz w:val="24"/>
                <w:szCs w:val="24"/>
                <w:lang w:eastAsia="ru-RU"/>
              </w:rPr>
              <w:br/>
              <w:t>Стандартизація методів</w:t>
            </w:r>
            <w:r w:rsidRPr="00ED7D3B">
              <w:rPr>
                <w:rFonts w:ascii="Times New Roman" w:eastAsia="Times New Roman" w:hAnsi="Times New Roman" w:cs="Times New Roman"/>
                <w:sz w:val="24"/>
                <w:szCs w:val="24"/>
                <w:lang w:eastAsia="ru-RU"/>
              </w:rPr>
              <w:br/>
              <w:t>Постійне навчання</w:t>
            </w:r>
            <w:r w:rsidRPr="00ED7D3B">
              <w:rPr>
                <w:rFonts w:ascii="Times New Roman" w:eastAsia="Times New Roman" w:hAnsi="Times New Roman" w:cs="Times New Roman"/>
                <w:sz w:val="24"/>
                <w:szCs w:val="24"/>
                <w:lang w:eastAsia="ru-RU"/>
              </w:rPr>
              <w:br/>
              <w:t>персоналу лабораторії</w:t>
            </w:r>
            <w:r w:rsidRPr="00ED7D3B">
              <w:rPr>
                <w:rFonts w:ascii="Times New Roman" w:eastAsia="Times New Roman" w:hAnsi="Times New Roman" w:cs="Times New Roman"/>
                <w:sz w:val="24"/>
                <w:szCs w:val="24"/>
                <w:lang w:eastAsia="ru-RU"/>
              </w:rPr>
              <w:br/>
              <w:t>Впровадження лабораторних систем забезпечення якості</w:t>
            </w:r>
          </w:p>
        </w:tc>
      </w:tr>
      <w:tr w:rsidR="00ED7D3B" w:rsidRPr="00ED7D3B" w:rsidTr="00ED7D3B">
        <w:trPr>
          <w:trHeight w:val="60"/>
        </w:trPr>
        <w:tc>
          <w:tcPr>
            <w:tcW w:w="1200" w:type="dxa"/>
            <w:vMerge w:val="restart"/>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Систематична помилка</w:t>
            </w:r>
          </w:p>
        </w:tc>
        <w:tc>
          <w:tcPr>
            <w:tcW w:w="7305" w:type="dxa"/>
            <w:gridSpan w:val="3"/>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Зміщення, пов’язане з методиками відбору</w:t>
            </w:r>
          </w:p>
        </w:tc>
      </w:tr>
      <w:tr w:rsidR="00ED7D3B" w:rsidRPr="00ED7D3B" w:rsidTr="00ED7D3B">
        <w:trPr>
          <w:trHeight w:val="60"/>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Вибір установ, що беруть участь</w:t>
            </w:r>
          </w:p>
        </w:tc>
        <w:tc>
          <w:tcPr>
            <w:tcW w:w="289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Відбір тільки особливих популяцій пацієнтів, наприклад, пацієнтів спеціалізованих лікарень, відділень анестезіології, реанімації та інтенсивної терапії і міських медичних центрів</w:t>
            </w:r>
          </w:p>
        </w:tc>
        <w:tc>
          <w:tcPr>
            <w:tcW w:w="28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Вибір комбінації різних типів лікарень та відділень з різних географічних регіонів</w:t>
            </w:r>
          </w:p>
        </w:tc>
      </w:tr>
      <w:tr w:rsidR="00ED7D3B" w:rsidRPr="00ED7D3B" w:rsidTr="00ED7D3B">
        <w:trPr>
          <w:trHeight w:val="60"/>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Вибір пацієнтів</w:t>
            </w:r>
          </w:p>
        </w:tc>
        <w:tc>
          <w:tcPr>
            <w:tcW w:w="289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Відбір тільки важких випадків або випадків невдалого лікування</w:t>
            </w:r>
          </w:p>
        </w:tc>
        <w:tc>
          <w:tcPr>
            <w:tcW w:w="28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Вдосконалення виявлення випадків: сприяння відбору всіх пацієнтів з ознаками інфекції кровотоку до початку лікування (активне виявлення випадків)</w:t>
            </w:r>
          </w:p>
        </w:tc>
      </w:tr>
      <w:tr w:rsidR="00ED7D3B" w:rsidRPr="00ED7D3B" w:rsidTr="00ED7D3B">
        <w:trPr>
          <w:trHeight w:val="60"/>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7305" w:type="dxa"/>
            <w:gridSpan w:val="3"/>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Зміщення, пов’язане з лабораторними методами</w:t>
            </w:r>
          </w:p>
        </w:tc>
      </w:tr>
      <w:tr w:rsidR="00ED7D3B" w:rsidRPr="00ED7D3B" w:rsidTr="00ED7D3B">
        <w:trPr>
          <w:trHeight w:val="276"/>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vMerge w:val="restart"/>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Лабораторні стандарти</w:t>
            </w:r>
          </w:p>
        </w:tc>
        <w:tc>
          <w:tcPr>
            <w:tcW w:w="2895" w:type="dxa"/>
            <w:vMerge w:val="restart"/>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Застосування неуніфікованих методів визначення чутливості до антибіотиків, наприклад, використання граничних значень з листків-вкладишів і застарілих стандартів</w:t>
            </w:r>
            <w:r w:rsidRPr="00ED7D3B">
              <w:rPr>
                <w:rFonts w:ascii="Times New Roman" w:eastAsia="Times New Roman" w:hAnsi="Times New Roman" w:cs="Times New Roman"/>
                <w:sz w:val="24"/>
                <w:szCs w:val="24"/>
                <w:lang w:eastAsia="ru-RU"/>
              </w:rPr>
              <w:br/>
            </w:r>
            <w:r w:rsidRPr="00ED7D3B">
              <w:rPr>
                <w:rFonts w:ascii="Times New Roman" w:eastAsia="Times New Roman" w:hAnsi="Times New Roman" w:cs="Times New Roman"/>
                <w:sz w:val="24"/>
                <w:szCs w:val="24"/>
                <w:lang w:eastAsia="ru-RU"/>
              </w:rPr>
              <w:lastRenderedPageBreak/>
              <w:t>Послідовне тестування, наприклад, визначення чутливості до карбапенемів тільки після виявлення стійкості ізоляту до цефалоспоринів 3-го покоління</w:t>
            </w:r>
          </w:p>
        </w:tc>
        <w:tc>
          <w:tcPr>
            <w:tcW w:w="2880" w:type="dxa"/>
            <w:vMerge w:val="restart"/>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lastRenderedPageBreak/>
              <w:t xml:space="preserve">Використання національних стандартів, заснованих на міжнародних стандартах методології визначення чутливості до антибіотиків (наприклад, </w:t>
            </w:r>
            <w:proofErr w:type="gramStart"/>
            <w:r w:rsidRPr="00ED7D3B">
              <w:rPr>
                <w:rFonts w:ascii="Times New Roman" w:eastAsia="Times New Roman" w:hAnsi="Times New Roman" w:cs="Times New Roman"/>
                <w:sz w:val="24"/>
                <w:szCs w:val="24"/>
                <w:lang w:eastAsia="ru-RU"/>
              </w:rPr>
              <w:t>EUCAST)</w:t>
            </w:r>
            <w:r w:rsidRPr="00ED7D3B">
              <w:rPr>
                <w:rFonts w:ascii="Times New Roman" w:eastAsia="Times New Roman" w:hAnsi="Times New Roman" w:cs="Times New Roman"/>
                <w:sz w:val="24"/>
                <w:szCs w:val="24"/>
                <w:lang w:eastAsia="ru-RU"/>
              </w:rPr>
              <w:br/>
              <w:t>Тестування</w:t>
            </w:r>
            <w:proofErr w:type="gramEnd"/>
            <w:r w:rsidRPr="00ED7D3B">
              <w:rPr>
                <w:rFonts w:ascii="Times New Roman" w:eastAsia="Times New Roman" w:hAnsi="Times New Roman" w:cs="Times New Roman"/>
                <w:sz w:val="24"/>
                <w:szCs w:val="24"/>
                <w:lang w:eastAsia="ru-RU"/>
              </w:rPr>
              <w:t xml:space="preserve"> чутливості всіх </w:t>
            </w:r>
            <w:r w:rsidRPr="00ED7D3B">
              <w:rPr>
                <w:rFonts w:ascii="Times New Roman" w:eastAsia="Times New Roman" w:hAnsi="Times New Roman" w:cs="Times New Roman"/>
                <w:sz w:val="24"/>
                <w:szCs w:val="24"/>
                <w:lang w:eastAsia="ru-RU"/>
              </w:rPr>
              <w:lastRenderedPageBreak/>
              <w:t>мікроорганізмів до всіх індикаторних протимікробних препаратів (використання стандартної</w:t>
            </w:r>
            <w:r w:rsidRPr="00ED7D3B">
              <w:rPr>
                <w:rFonts w:ascii="Times New Roman" w:eastAsia="Times New Roman" w:hAnsi="Times New Roman" w:cs="Times New Roman"/>
                <w:sz w:val="24"/>
                <w:szCs w:val="24"/>
                <w:lang w:eastAsia="ru-RU"/>
              </w:rPr>
              <w:br/>
              <w:t>тестової панелі)</w:t>
            </w:r>
          </w:p>
        </w:tc>
      </w:tr>
      <w:tr w:rsidR="00ED7D3B" w:rsidRPr="00ED7D3B" w:rsidTr="00ED7D3B">
        <w:trPr>
          <w:trHeight w:val="276"/>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r>
      <w:tr w:rsidR="00ED7D3B" w:rsidRPr="00ED7D3B" w:rsidTr="00ED7D3B">
        <w:trPr>
          <w:trHeight w:val="60"/>
        </w:trPr>
        <w:tc>
          <w:tcPr>
            <w:tcW w:w="1200" w:type="dxa"/>
            <w:vMerge w:val="restart"/>
            <w:tcBorders>
              <w:top w:val="nil"/>
              <w:left w:val="single" w:sz="6" w:space="0" w:color="000000"/>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lastRenderedPageBreak/>
              <w:t>Систематична помилка</w:t>
            </w:r>
          </w:p>
        </w:tc>
        <w:tc>
          <w:tcPr>
            <w:tcW w:w="7305" w:type="dxa"/>
            <w:gridSpan w:val="3"/>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Зміщення, пов’язане з лабораторними методами</w:t>
            </w:r>
          </w:p>
        </w:tc>
      </w:tr>
      <w:tr w:rsidR="00ED7D3B" w:rsidRPr="00ED7D3B" w:rsidTr="00ED7D3B">
        <w:trPr>
          <w:trHeight w:val="60"/>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Помилка вимірювання</w:t>
            </w:r>
          </w:p>
        </w:tc>
        <w:tc>
          <w:tcPr>
            <w:tcW w:w="289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Неправильне застосування лабораторних методів, наприклад, використання нестандартного інокулюму.</w:t>
            </w:r>
            <w:r w:rsidRPr="00ED7D3B">
              <w:rPr>
                <w:rFonts w:ascii="Times New Roman" w:eastAsia="Times New Roman" w:hAnsi="Times New Roman" w:cs="Times New Roman"/>
                <w:sz w:val="24"/>
                <w:szCs w:val="24"/>
                <w:lang w:eastAsia="ru-RU"/>
              </w:rPr>
              <w:br/>
              <w:t>Неякісні лабораторні матеріали, наприклад, диски з антибіотиком з вичерпаним терміном придатності або таких, які не пройшли контроль якості.</w:t>
            </w:r>
            <w:r w:rsidRPr="00ED7D3B">
              <w:rPr>
                <w:rFonts w:ascii="Times New Roman" w:eastAsia="Times New Roman" w:hAnsi="Times New Roman" w:cs="Times New Roman"/>
                <w:sz w:val="24"/>
                <w:szCs w:val="24"/>
                <w:lang w:eastAsia="ru-RU"/>
              </w:rPr>
              <w:br/>
              <w:t>Погано відкаліброване, пошкоджене обладнання, наприклад, застаріле програмне забезпечення для автоматичних аналізаторів</w:t>
            </w:r>
          </w:p>
        </w:tc>
        <w:tc>
          <w:tcPr>
            <w:tcW w:w="28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Навчання лабораторного персоналу.</w:t>
            </w:r>
            <w:r w:rsidRPr="00ED7D3B">
              <w:rPr>
                <w:rFonts w:ascii="Times New Roman" w:eastAsia="Times New Roman" w:hAnsi="Times New Roman" w:cs="Times New Roman"/>
                <w:sz w:val="24"/>
                <w:szCs w:val="24"/>
                <w:lang w:eastAsia="ru-RU"/>
              </w:rPr>
              <w:br/>
              <w:t>Впровадження лабораторних систем забезпечення якості.</w:t>
            </w:r>
            <w:r w:rsidRPr="00ED7D3B">
              <w:rPr>
                <w:rFonts w:ascii="Times New Roman" w:eastAsia="Times New Roman" w:hAnsi="Times New Roman" w:cs="Times New Roman"/>
                <w:sz w:val="24"/>
                <w:szCs w:val="24"/>
                <w:lang w:eastAsia="ru-RU"/>
              </w:rPr>
              <w:br/>
              <w:t>Направлення на підтвердження мікроорганізмів з розширеною та панрезистентністю.</w:t>
            </w:r>
            <w:r w:rsidRPr="00ED7D3B">
              <w:rPr>
                <w:rFonts w:ascii="Times New Roman" w:eastAsia="Times New Roman" w:hAnsi="Times New Roman" w:cs="Times New Roman"/>
                <w:sz w:val="24"/>
                <w:szCs w:val="24"/>
                <w:lang w:eastAsia="ru-RU"/>
              </w:rPr>
              <w:br/>
              <w:t>Придбання діагностичних препаратів та витратних матеріалів</w:t>
            </w:r>
            <w:r w:rsidRPr="00ED7D3B">
              <w:rPr>
                <w:rFonts w:ascii="Times New Roman" w:eastAsia="Times New Roman" w:hAnsi="Times New Roman" w:cs="Times New Roman"/>
                <w:sz w:val="24"/>
                <w:szCs w:val="24"/>
                <w:lang w:eastAsia="ru-RU"/>
              </w:rPr>
              <w:br/>
              <w:t>гарантованої якості</w:t>
            </w:r>
          </w:p>
        </w:tc>
      </w:tr>
      <w:tr w:rsidR="00ED7D3B" w:rsidRPr="00ED7D3B" w:rsidTr="00ED7D3B">
        <w:trPr>
          <w:trHeight w:val="60"/>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7305" w:type="dxa"/>
            <w:gridSpan w:val="3"/>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jc w:val="center"/>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Зміщення, пов’язане з методами об’єднання і аналізу даних</w:t>
            </w:r>
          </w:p>
        </w:tc>
      </w:tr>
      <w:tr w:rsidR="00ED7D3B" w:rsidRPr="00ED7D3B" w:rsidTr="00ED7D3B">
        <w:trPr>
          <w:trHeight w:val="60"/>
        </w:trPr>
        <w:tc>
          <w:tcPr>
            <w:tcW w:w="0" w:type="auto"/>
            <w:vMerge/>
            <w:tcBorders>
              <w:top w:val="nil"/>
              <w:left w:val="single" w:sz="6" w:space="0" w:color="000000"/>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1965" w:type="dxa"/>
            <w:tcBorders>
              <w:top w:val="nil"/>
              <w:left w:val="nil"/>
              <w:bottom w:val="single" w:sz="6" w:space="0" w:color="000000"/>
              <w:right w:val="single" w:sz="6" w:space="0" w:color="000000"/>
            </w:tcBorders>
            <w:hideMark/>
          </w:tcPr>
          <w:p w:rsidR="00ED7D3B" w:rsidRPr="00ED7D3B" w:rsidRDefault="00ED7D3B" w:rsidP="00ED7D3B">
            <w:pPr>
              <w:spacing w:after="0" w:line="240" w:lineRule="auto"/>
              <w:rPr>
                <w:rFonts w:ascii="Times New Roman" w:eastAsia="Times New Roman" w:hAnsi="Times New Roman" w:cs="Times New Roman"/>
                <w:sz w:val="24"/>
                <w:szCs w:val="24"/>
                <w:lang w:eastAsia="ru-RU"/>
              </w:rPr>
            </w:pPr>
          </w:p>
        </w:tc>
        <w:tc>
          <w:tcPr>
            <w:tcW w:w="2895"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Включення в дослідження ізолятів, отриманих повторно від одних і тих же пацієнтів.</w:t>
            </w:r>
            <w:r w:rsidRPr="00ED7D3B">
              <w:rPr>
                <w:rFonts w:ascii="Times New Roman" w:eastAsia="Times New Roman" w:hAnsi="Times New Roman" w:cs="Times New Roman"/>
                <w:sz w:val="24"/>
                <w:szCs w:val="24"/>
                <w:lang w:eastAsia="ru-RU"/>
              </w:rPr>
              <w:br/>
              <w:t>Використання різних експертних правил, наприклад, різних правил встановлення стійкості в кожній з лабораторій</w:t>
            </w:r>
          </w:p>
        </w:tc>
        <w:tc>
          <w:tcPr>
            <w:tcW w:w="2880" w:type="dxa"/>
            <w:tcBorders>
              <w:top w:val="nil"/>
              <w:left w:val="nil"/>
              <w:bottom w:val="single" w:sz="6" w:space="0" w:color="000000"/>
              <w:right w:val="single" w:sz="6" w:space="0" w:color="000000"/>
            </w:tcBorders>
            <w:hideMark/>
          </w:tcPr>
          <w:p w:rsidR="00ED7D3B" w:rsidRPr="00ED7D3B" w:rsidRDefault="00ED7D3B" w:rsidP="00ED7D3B">
            <w:pPr>
              <w:spacing w:before="150" w:after="150" w:line="240" w:lineRule="auto"/>
              <w:rPr>
                <w:rFonts w:ascii="Times New Roman" w:eastAsia="Times New Roman" w:hAnsi="Times New Roman" w:cs="Times New Roman"/>
                <w:sz w:val="24"/>
                <w:szCs w:val="24"/>
                <w:lang w:eastAsia="ru-RU"/>
              </w:rPr>
            </w:pPr>
            <w:r w:rsidRPr="00ED7D3B">
              <w:rPr>
                <w:rFonts w:ascii="Times New Roman" w:eastAsia="Times New Roman" w:hAnsi="Times New Roman" w:cs="Times New Roman"/>
                <w:sz w:val="24"/>
                <w:szCs w:val="24"/>
                <w:lang w:eastAsia="ru-RU"/>
              </w:rPr>
              <w:t>Збір тільки первинних даних.</w:t>
            </w:r>
            <w:r w:rsidRPr="00ED7D3B">
              <w:rPr>
                <w:rFonts w:ascii="Times New Roman" w:eastAsia="Times New Roman" w:hAnsi="Times New Roman" w:cs="Times New Roman"/>
                <w:sz w:val="24"/>
                <w:szCs w:val="24"/>
                <w:lang w:eastAsia="ru-RU"/>
              </w:rPr>
              <w:br/>
              <w:t>Використання стандартизованих методів об’єднання і аналізу даних</w:t>
            </w:r>
          </w:p>
        </w:tc>
      </w:tr>
    </w:tbl>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40"/>
      <w:bookmarkEnd w:id="173"/>
      <w:r w:rsidRPr="00ED7D3B">
        <w:rPr>
          <w:rFonts w:ascii="Times New Roman" w:eastAsia="Times New Roman" w:hAnsi="Times New Roman" w:cs="Times New Roman"/>
          <w:color w:val="333333"/>
          <w:sz w:val="24"/>
          <w:szCs w:val="24"/>
          <w:lang w:eastAsia="ru-RU"/>
        </w:rPr>
        <w:t>При інтерпретації результатів епідеміологічного нагляду або будь-якого іншого виду дослідження слід завжди оцінювати, чи відображають ці результати дійсність. Кожне вимірювання супроводжується ризиком відхилення від істинного значення за рахунок випадкової або систематичної помилки.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41"/>
      <w:bookmarkEnd w:id="174"/>
      <w:r w:rsidRPr="00ED7D3B">
        <w:rPr>
          <w:rFonts w:ascii="Times New Roman" w:eastAsia="Times New Roman" w:hAnsi="Times New Roman" w:cs="Times New Roman"/>
          <w:color w:val="333333"/>
          <w:sz w:val="24"/>
          <w:szCs w:val="24"/>
          <w:lang w:eastAsia="ru-RU"/>
        </w:rPr>
        <w:t>Випадкове відхилення обумовлено випадковою варіацією, що виникає при складанні вибірки (відбір) або при вимірюванні.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42"/>
      <w:bookmarkEnd w:id="175"/>
      <w:r w:rsidRPr="00ED7D3B">
        <w:rPr>
          <w:rFonts w:ascii="Times New Roman" w:eastAsia="Times New Roman" w:hAnsi="Times New Roman" w:cs="Times New Roman"/>
          <w:color w:val="333333"/>
          <w:sz w:val="24"/>
          <w:szCs w:val="24"/>
          <w:lang w:eastAsia="ru-RU"/>
        </w:rPr>
        <w:t xml:space="preserve">Систематичне відхилення - результат систематичних помилок при зборі, обробці та аналізі даних. Систематичне відхилення називають також зміщенням. Зокрема, систематичне відхилення може відбуватися в ході формування вибірки пацієнтів (зміщення, пов’язане з відбором), при обробці зразків в лабораторії (наприклад, помилка </w:t>
      </w:r>
      <w:r w:rsidRPr="00ED7D3B">
        <w:rPr>
          <w:rFonts w:ascii="Times New Roman" w:eastAsia="Times New Roman" w:hAnsi="Times New Roman" w:cs="Times New Roman"/>
          <w:color w:val="333333"/>
          <w:sz w:val="24"/>
          <w:szCs w:val="24"/>
          <w:lang w:eastAsia="ru-RU"/>
        </w:rPr>
        <w:lastRenderedPageBreak/>
        <w:t>вимірювання) або при об’єднанні даних для аналізу (наприклад, включення в дослідження дублікатів ізолятів).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43"/>
      <w:bookmarkEnd w:id="176"/>
      <w:r w:rsidRPr="00ED7D3B">
        <w:rPr>
          <w:rFonts w:ascii="Times New Roman" w:eastAsia="Times New Roman" w:hAnsi="Times New Roman" w:cs="Times New Roman"/>
          <w:color w:val="333333"/>
          <w:sz w:val="24"/>
          <w:szCs w:val="24"/>
          <w:lang w:eastAsia="ru-RU"/>
        </w:rPr>
        <w:t>Випадкова помилка - неминучий елемент, величина якого може бути знижена дослідниками лише до певної міри. У той же час дослідники здатні значно зменшити систематичну помилку, звертаючи пильну увагу на конкретні деталі процесу формування даних.</w:t>
      </w:r>
    </w:p>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77" w:name="n144"/>
      <w:bookmarkEnd w:id="177"/>
      <w:r w:rsidRPr="00ED7D3B">
        <w:rPr>
          <w:rFonts w:ascii="Times New Roman" w:eastAsia="Times New Roman" w:hAnsi="Times New Roman" w:cs="Times New Roman"/>
          <w:b/>
          <w:bCs/>
          <w:color w:val="333333"/>
          <w:sz w:val="24"/>
          <w:szCs w:val="24"/>
          <w:lang w:eastAsia="ru-RU"/>
        </w:rPr>
        <w:t>Випадкова помилка</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45"/>
      <w:bookmarkEnd w:id="178"/>
      <w:r w:rsidRPr="00ED7D3B">
        <w:rPr>
          <w:rFonts w:ascii="Times New Roman" w:eastAsia="Times New Roman" w:hAnsi="Times New Roman" w:cs="Times New Roman"/>
          <w:b/>
          <w:bCs/>
          <w:color w:val="333333"/>
          <w:sz w:val="24"/>
          <w:szCs w:val="24"/>
          <w:lang w:eastAsia="ru-RU"/>
        </w:rPr>
        <w:t>Варіація, обумовлена формуванням вибірки.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46"/>
      <w:bookmarkEnd w:id="179"/>
      <w:r w:rsidRPr="00ED7D3B">
        <w:rPr>
          <w:rFonts w:ascii="Times New Roman" w:eastAsia="Times New Roman" w:hAnsi="Times New Roman" w:cs="Times New Roman"/>
          <w:color w:val="333333"/>
          <w:sz w:val="24"/>
          <w:szCs w:val="24"/>
          <w:lang w:eastAsia="ru-RU"/>
        </w:rPr>
        <w:t>Випадкова помилка може відбуватися в результаті випадковості при кожному відборі індивідуумів з популяції (наприклад, в лікарні щотижня виділяють в середньому 11 гемокультур. При підрахунку числа пацієнтів з ознаками інфекції кровотоку, від яких щотижня протягом чотирьох послідовних тижнів виділяють гемокультури, можна отримати різні показники для першого, другого, третього та четвертого тижнів (наприклад, 9, 13, 10 і 12 відповідно). При цьому спостерігається щотижневе число гемокультур, яке змінюється випадковим чином. Випадкова варіація може призводити як до завищення, так і заниження частки стійкості. Очікувана величина відхилення результату від істинного значення за рахунок випадкової помилки, або статистична точність вимірювання, залежить від розміру вибірки. Чим менше розмір вибірки, тим більше можливе відхилення від істинного значення і навпаки, чим більше розмір вибірки, тим менше це відхилення).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47"/>
      <w:bookmarkEnd w:id="180"/>
      <w:r w:rsidRPr="00ED7D3B">
        <w:rPr>
          <w:rFonts w:ascii="Times New Roman" w:eastAsia="Times New Roman" w:hAnsi="Times New Roman" w:cs="Times New Roman"/>
          <w:b/>
          <w:bCs/>
          <w:color w:val="333333"/>
          <w:sz w:val="24"/>
          <w:szCs w:val="24"/>
          <w:lang w:eastAsia="ru-RU"/>
        </w:rPr>
        <w:t>Варіація вимірювання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48"/>
      <w:bookmarkEnd w:id="181"/>
      <w:r w:rsidRPr="00ED7D3B">
        <w:rPr>
          <w:rFonts w:ascii="Times New Roman" w:eastAsia="Times New Roman" w:hAnsi="Times New Roman" w:cs="Times New Roman"/>
          <w:color w:val="333333"/>
          <w:sz w:val="24"/>
          <w:szCs w:val="24"/>
          <w:lang w:eastAsia="ru-RU"/>
        </w:rPr>
        <w:t>Будь-яке проведення вимірювань також супроводжується випадковими помилками, що виникають через невеликі відмінності в способах застосування методик вимірювання в конкретних дослідах. Наприклад, концентрація інокулюму, що використовується для посіву при тестуванні чутливості до антибіотиків диско-дифузійним методом, кожен раз змінюється. Випадкова варіація концентрації інокулюму призводить до збільшення або зменшення діаметрів зон пригнічення росту. Залежно від конкретних граничних значень це може впливати на те, чи буде бактеріальний ізолят вважатися чутливим, помірно стійким або стійким до даного антибіотика. Як наслідок, при об’єднанні всіх результатів частка стійкості може виявитися завищеною або заниженою. В цілому, це відхилення буде «сумішшю» відхилень як в одну, так і в іншу сторону, які будуть взаємно «поглинати» один одного при об’єднанні даних. Крім того, ефект від випадково отриманих завищених та занижених значень буде нівелюватися за рахунок збільшення розміру вибірки. При використанні для тестування чутливості до антибіотиків автоматичних аналізаторів варіація вимірювання зазвичай невелика і знаходиться в допустимих межах. Якщо дослідження проводиться вручну, величина помилки залежить від досвіду і кваліфікації лабораторного працівника і ретельності проведення вимірювань. Випадкову варіацію вимірювання можна мінімізувати за допомогою стандартизації методик, навчання лабораторного персоналу і забезпечення якості.</w:t>
      </w:r>
    </w:p>
    <w:p w:rsidR="00ED7D3B" w:rsidRPr="00ED7D3B" w:rsidRDefault="00ED7D3B" w:rsidP="00ED7D3B">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82" w:name="n149"/>
      <w:bookmarkEnd w:id="182"/>
      <w:r w:rsidRPr="00ED7D3B">
        <w:rPr>
          <w:rFonts w:ascii="Times New Roman" w:eastAsia="Times New Roman" w:hAnsi="Times New Roman" w:cs="Times New Roman"/>
          <w:b/>
          <w:bCs/>
          <w:color w:val="333333"/>
          <w:sz w:val="24"/>
          <w:szCs w:val="24"/>
          <w:lang w:eastAsia="ru-RU"/>
        </w:rPr>
        <w:t>Систематична помилка</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50"/>
      <w:bookmarkEnd w:id="183"/>
      <w:r w:rsidRPr="00ED7D3B">
        <w:rPr>
          <w:rFonts w:ascii="Times New Roman" w:eastAsia="Times New Roman" w:hAnsi="Times New Roman" w:cs="Times New Roman"/>
          <w:b/>
          <w:bCs/>
          <w:color w:val="333333"/>
          <w:sz w:val="24"/>
          <w:szCs w:val="24"/>
          <w:lang w:eastAsia="ru-RU"/>
        </w:rPr>
        <w:t>Похибка, пов’язана з методами формування вибірки (відбір установ)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51"/>
      <w:bookmarkEnd w:id="184"/>
      <w:r w:rsidRPr="00ED7D3B">
        <w:rPr>
          <w:rFonts w:ascii="Times New Roman" w:eastAsia="Times New Roman" w:hAnsi="Times New Roman" w:cs="Times New Roman"/>
          <w:color w:val="333333"/>
          <w:sz w:val="24"/>
          <w:szCs w:val="24"/>
          <w:lang w:eastAsia="ru-RU"/>
        </w:rPr>
        <w:t xml:space="preserve">Для отримання репрезентативної для даної території і в цілому для країни вибірки для оцінки стійкості до протимікробних препаратів слід відбирати для участі в національному або територіальному епіднагляді лабораторії з міських і сільських районів, розташованих в різних географічних і кліматичних зонах. Необхідно складати вибірки з різних популяцій пацієнтів, які перебувають на лікуванні в лікарнях/відділеннях різного типу. Формування вибірок з особливих популяцій дозволить узагальнювати результати тільки для даної </w:t>
      </w:r>
      <w:r w:rsidRPr="00ED7D3B">
        <w:rPr>
          <w:rFonts w:ascii="Times New Roman" w:eastAsia="Times New Roman" w:hAnsi="Times New Roman" w:cs="Times New Roman"/>
          <w:color w:val="333333"/>
          <w:sz w:val="24"/>
          <w:szCs w:val="24"/>
          <w:lang w:eastAsia="ru-RU"/>
        </w:rPr>
        <w:lastRenderedPageBreak/>
        <w:t>конкретної популяції, що не завжди можна буде судити про характеристики загальній популяції пацієнтів.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52"/>
      <w:bookmarkEnd w:id="185"/>
      <w:r w:rsidRPr="00ED7D3B">
        <w:rPr>
          <w:rFonts w:ascii="Times New Roman" w:eastAsia="Times New Roman" w:hAnsi="Times New Roman" w:cs="Times New Roman"/>
          <w:b/>
          <w:bCs/>
          <w:color w:val="333333"/>
          <w:sz w:val="24"/>
          <w:szCs w:val="24"/>
          <w:lang w:eastAsia="ru-RU"/>
        </w:rPr>
        <w:t>Похибка, пов’язана з методами формування вибірки (відбір пацієнтів)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53"/>
      <w:bookmarkEnd w:id="186"/>
      <w:r w:rsidRPr="00ED7D3B">
        <w:rPr>
          <w:rFonts w:ascii="Times New Roman" w:eastAsia="Times New Roman" w:hAnsi="Times New Roman" w:cs="Times New Roman"/>
          <w:color w:val="333333"/>
          <w:sz w:val="24"/>
          <w:szCs w:val="24"/>
          <w:lang w:eastAsia="ru-RU"/>
        </w:rPr>
        <w:t>Слід з особливою обережністю інтерпретувати дані епіднагляду, отримані при рутинному діагностичному тестуванні. Оскільки основна мета збору даних при пасивному епіднагляді - це не сам нагляд, а вибір лікування пацієнтів, ці дані за замовчуванням зміщені в бік пацієнтів з більш серйозними захворюваннями, пацієнтів, лікування яких ускладнено, або пацієнтів, у яких з високим ступенем ймовірності підозрюють інфекції, викликані мікроорганізмами з АМР. Це означає, що рішення про необхідність отримання гемокультури, приймається, виходячи з клінічних прогнозів. У той же час в процесі активного епіднагляду при включенні пацієнтів до вибірки зазвичай використовують чіткі описи випадків і роблять спеціальні зусилля для отримання репрезентативної вибірки цільової популяції.</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54"/>
      <w:bookmarkEnd w:id="187"/>
      <w:r w:rsidRPr="00ED7D3B">
        <w:rPr>
          <w:rFonts w:ascii="Times New Roman" w:eastAsia="Times New Roman" w:hAnsi="Times New Roman" w:cs="Times New Roman"/>
          <w:color w:val="333333"/>
          <w:sz w:val="24"/>
          <w:szCs w:val="24"/>
          <w:lang w:eastAsia="ru-RU"/>
        </w:rPr>
        <w:t>Для отримання результатів, репрезентативних для цільової вибірки, необхідно переконатися, що у вибірку включені всі пацієнти, які відповідають визначенню випадку, тобто відібрані всі пацієнти з ознаками інфекції кровотоку, сепсису або менінгіту. Включення до вибірки лише пацієнтів певних категорій (наприклад, тільки пацієнти відділень анестезіології, реанімації та інтенсивної терапії або високоспеціалізованих закладів охорони здоров’я) або пацієнтів з хронічними/рецидивуючими інфекціями, загостреннями захворювань або після невдалого лікування призведе до завищеної оцінки частки стійкості. Це обумовлено тим, що лікування таких пацієнтів супроводжувалося селективним тиском протимікробних агентів, що підвищує ймовірність розвитку інфекції, викликаної стійким патогеном.</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55"/>
      <w:bookmarkEnd w:id="188"/>
      <w:r w:rsidRPr="00ED7D3B">
        <w:rPr>
          <w:rFonts w:ascii="Times New Roman" w:eastAsia="Times New Roman" w:hAnsi="Times New Roman" w:cs="Times New Roman"/>
          <w:color w:val="333333"/>
          <w:sz w:val="24"/>
          <w:szCs w:val="24"/>
          <w:lang w:eastAsia="ru-RU"/>
        </w:rPr>
        <w:t>Застосування мікробіологічних методів діагностики пов’язане з фінансовими і логістичними обмеженнями, які не контролюються системою епіднагляду. Наприклад, кількість гемокультур, які можуть бути отримані при наданні стандартної медичної допомоги, буде невелика, якщо лікарі не звикли брати зразки крові у кожного пацієнта через недостатню потужність лабораторії, або якщо результати лабораторних досліджень повідомляються їм із затримкою і не можуть вплинути на прийняття клінічних рішень. Крім того, забір зразків може відбуватися вже після початку протимікробної терапії або після самолікування.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56"/>
      <w:bookmarkEnd w:id="189"/>
      <w:r w:rsidRPr="00ED7D3B">
        <w:rPr>
          <w:rFonts w:ascii="Times New Roman" w:eastAsia="Times New Roman" w:hAnsi="Times New Roman" w:cs="Times New Roman"/>
          <w:color w:val="333333"/>
          <w:sz w:val="24"/>
          <w:szCs w:val="24"/>
          <w:lang w:eastAsia="ru-RU"/>
        </w:rPr>
        <w:t>Час забору зразків також може впливати на виявлення частки стійкості. Спеціально організований або зручний для дослідника збір зразків протягом обмеженого періоду часу, особливо під час спалахів, призводить до систематичних помилок. Будь-який вплив спалахів захворювань, викликаних бактеріями з АМР, або сезонних варіацій можна нівелювати, збираючи зразки протягом усього року.</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57"/>
      <w:bookmarkEnd w:id="190"/>
      <w:r w:rsidRPr="00ED7D3B">
        <w:rPr>
          <w:rFonts w:ascii="Times New Roman" w:eastAsia="Times New Roman" w:hAnsi="Times New Roman" w:cs="Times New Roman"/>
          <w:b/>
          <w:bCs/>
          <w:color w:val="333333"/>
          <w:sz w:val="24"/>
          <w:szCs w:val="24"/>
          <w:lang w:eastAsia="ru-RU"/>
        </w:rPr>
        <w:t>Похибка, пов’язана з лабораторними методами (помилка вимірювання)</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58"/>
      <w:bookmarkEnd w:id="191"/>
      <w:r w:rsidRPr="00ED7D3B">
        <w:rPr>
          <w:rFonts w:ascii="Times New Roman" w:eastAsia="Times New Roman" w:hAnsi="Times New Roman" w:cs="Times New Roman"/>
          <w:color w:val="333333"/>
          <w:sz w:val="24"/>
          <w:szCs w:val="24"/>
          <w:lang w:eastAsia="ru-RU"/>
        </w:rPr>
        <w:t>Як зазначено вище, варіації показників спостерігаються при будь-якому проведенні вимірювань. Крім випадкової варіації можлива систематична помилка вимірювання, що призводить до отримання помилково негативних або хибно позитивних результатів, при цьому відбувається завищення або заниження загальної частки стійкості. Систематична помилка вимірювання має місце при неправильному застосуванні лабораторних методів, використанні неякісних лабораторних матеріалів, наприклад, поживних середовищ або дисків для визначення чутливості до протимікробних препаратів із закінченим терміном придатності, а також при пошкодженні або неналежному калібруванні автоматичних аналізаторів.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59"/>
      <w:bookmarkEnd w:id="192"/>
      <w:r w:rsidRPr="00ED7D3B">
        <w:rPr>
          <w:rFonts w:ascii="Times New Roman" w:eastAsia="Times New Roman" w:hAnsi="Times New Roman" w:cs="Times New Roman"/>
          <w:color w:val="333333"/>
          <w:sz w:val="24"/>
          <w:szCs w:val="24"/>
          <w:lang w:eastAsia="ru-RU"/>
        </w:rPr>
        <w:t xml:space="preserve">Важливу роль при інтерпретації частки стійкості відіграє правильна видова ідентифікація мікроорганізмів. Види бактерій розрізняються по клінічній значущості, а </w:t>
      </w:r>
      <w:r w:rsidRPr="00ED7D3B">
        <w:rPr>
          <w:rFonts w:ascii="Times New Roman" w:eastAsia="Times New Roman" w:hAnsi="Times New Roman" w:cs="Times New Roman"/>
          <w:color w:val="333333"/>
          <w:sz w:val="24"/>
          <w:szCs w:val="24"/>
          <w:lang w:eastAsia="ru-RU"/>
        </w:rPr>
        <w:lastRenderedPageBreak/>
        <w:t>також за здатністю набувати стійкість або наявності природної стійкості. Іноді в наявності є явні ознаки проблем з ідентифікацією виду. Наприклад, висока частка стійкості </w:t>
      </w:r>
      <w:r w:rsidRPr="00ED7D3B">
        <w:rPr>
          <w:rFonts w:ascii="Times New Roman" w:eastAsia="Times New Roman" w:hAnsi="Times New Roman" w:cs="Times New Roman"/>
          <w:i/>
          <w:iCs/>
          <w:color w:val="333333"/>
          <w:sz w:val="24"/>
          <w:szCs w:val="24"/>
          <w:lang w:eastAsia="ru-RU"/>
        </w:rPr>
        <w:t>E. faecalis</w:t>
      </w:r>
      <w:r w:rsidRPr="00ED7D3B">
        <w:rPr>
          <w:rFonts w:ascii="Times New Roman" w:eastAsia="Times New Roman" w:hAnsi="Times New Roman" w:cs="Times New Roman"/>
          <w:color w:val="333333"/>
          <w:sz w:val="24"/>
          <w:szCs w:val="24"/>
          <w:lang w:eastAsia="ru-RU"/>
        </w:rPr>
        <w:t> до ампіциліну дозволяє припустити, що </w:t>
      </w:r>
      <w:r w:rsidRPr="00ED7D3B">
        <w:rPr>
          <w:rFonts w:ascii="Times New Roman" w:eastAsia="Times New Roman" w:hAnsi="Times New Roman" w:cs="Times New Roman"/>
          <w:i/>
          <w:iCs/>
          <w:color w:val="333333"/>
          <w:sz w:val="24"/>
          <w:szCs w:val="24"/>
          <w:lang w:eastAsia="ru-RU"/>
        </w:rPr>
        <w:t>E. faecium</w:t>
      </w:r>
      <w:r w:rsidRPr="00ED7D3B">
        <w:rPr>
          <w:rFonts w:ascii="Times New Roman" w:eastAsia="Times New Roman" w:hAnsi="Times New Roman" w:cs="Times New Roman"/>
          <w:color w:val="333333"/>
          <w:sz w:val="24"/>
          <w:szCs w:val="24"/>
          <w:lang w:eastAsia="ru-RU"/>
        </w:rPr>
        <w:t> помилково класифікується як E.</w:t>
      </w:r>
      <w:r w:rsidRPr="00ED7D3B">
        <w:rPr>
          <w:rFonts w:ascii="Times New Roman" w:eastAsia="Times New Roman" w:hAnsi="Times New Roman" w:cs="Times New Roman"/>
          <w:i/>
          <w:iCs/>
          <w:color w:val="333333"/>
          <w:sz w:val="24"/>
          <w:szCs w:val="24"/>
          <w:lang w:eastAsia="ru-RU"/>
        </w:rPr>
        <w:t> faecalis</w:t>
      </w:r>
      <w:r w:rsidRPr="00ED7D3B">
        <w:rPr>
          <w:rFonts w:ascii="Times New Roman" w:eastAsia="Times New Roman" w:hAnsi="Times New Roman" w:cs="Times New Roman"/>
          <w:color w:val="333333"/>
          <w:sz w:val="24"/>
          <w:szCs w:val="24"/>
          <w:lang w:eastAsia="ru-RU"/>
        </w:rPr>
        <w:t>.</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60"/>
      <w:bookmarkEnd w:id="193"/>
      <w:r w:rsidRPr="00ED7D3B">
        <w:rPr>
          <w:rFonts w:ascii="Times New Roman" w:eastAsia="Times New Roman" w:hAnsi="Times New Roman" w:cs="Times New Roman"/>
          <w:color w:val="333333"/>
          <w:sz w:val="24"/>
          <w:szCs w:val="24"/>
          <w:lang w:eastAsia="ru-RU"/>
        </w:rPr>
        <w:t>Наявність лабораторної системи управління якістю і регулярне використання внутрішньолабораторних процедур забезпечення якості дозволяють своєчасно виявляти і виправляти систематичні помилки лабораторних досліджень. Застосування схем аудиту і акредитації в поєднанні з програмами зовнішнього контролю якості гарантує відповідність лабораторій національним стандартам якості.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61"/>
      <w:bookmarkEnd w:id="194"/>
      <w:r w:rsidRPr="00ED7D3B">
        <w:rPr>
          <w:rFonts w:ascii="Times New Roman" w:eastAsia="Times New Roman" w:hAnsi="Times New Roman" w:cs="Times New Roman"/>
          <w:color w:val="333333"/>
          <w:sz w:val="24"/>
          <w:szCs w:val="24"/>
          <w:lang w:eastAsia="ru-RU"/>
        </w:rPr>
        <w:t>Важливо відзначити, що виявлення певних мікроорганізмів з високою стійкістю або незвичайних фенотипів стійкості до протимікробних препаратів (наприклад, представники сімейства Enterobacteriaceae, стійкі до карбапенемів) може потребувати проведення додаткових підтверджуючих тестів. Це необхідно для того, щоб оцінити, чи є отримані результати істинними або можуть бути наслідком лабораторної помилки. Така подвійна перевірка результатів має велике значення, так як виявлення цих типів мікроорганізмів може мати серйозний вплив на емпіричну протимікробну терапію в області профілактики і контролю інфекцій.</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62"/>
      <w:bookmarkEnd w:id="195"/>
      <w:r w:rsidRPr="00ED7D3B">
        <w:rPr>
          <w:rFonts w:ascii="Times New Roman" w:eastAsia="Times New Roman" w:hAnsi="Times New Roman" w:cs="Times New Roman"/>
          <w:b/>
          <w:bCs/>
          <w:color w:val="333333"/>
          <w:sz w:val="24"/>
          <w:szCs w:val="24"/>
          <w:lang w:eastAsia="ru-RU"/>
        </w:rPr>
        <w:t>Зміщення, пов’язане з лабораторними методами (лабораторні стандарти)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63"/>
      <w:bookmarkEnd w:id="196"/>
      <w:r w:rsidRPr="00ED7D3B">
        <w:rPr>
          <w:rFonts w:ascii="Times New Roman" w:eastAsia="Times New Roman" w:hAnsi="Times New Roman" w:cs="Times New Roman"/>
          <w:color w:val="333333"/>
          <w:sz w:val="24"/>
          <w:szCs w:val="24"/>
          <w:lang w:eastAsia="ru-RU"/>
        </w:rPr>
        <w:t>Визначення чутливості до антибіотиків повинно проводитися відповідно до єдиних стандартів для отримання точних результатів тестування. Різні стандарти можуть відрізнятися один від одного за лабораторними методами та критеріями інтерпретації, крім того, клінічно значущі граничні значення з часом можуть змінюватися. Це може призводити до отримання непорівнюваних результатів при оцінці тенденцій і ускладнювати порівняння даних, представлених лабораторіями або територіями, які використовують різні стандарти або різні версії стандартів.</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164"/>
      <w:bookmarkEnd w:id="197"/>
      <w:r w:rsidRPr="00ED7D3B">
        <w:rPr>
          <w:rFonts w:ascii="Times New Roman" w:eastAsia="Times New Roman" w:hAnsi="Times New Roman" w:cs="Times New Roman"/>
          <w:color w:val="333333"/>
          <w:sz w:val="24"/>
          <w:szCs w:val="24"/>
          <w:lang w:eastAsia="ru-RU"/>
        </w:rPr>
        <w:t>Важливо, щоб кожен ізолят, включений до епіднагляду, перевірявся на чутливість до всіх зазначених протимікробних препаратів. Диференційований підхід або послідовне тестування (наприклад, визначення чутливості до карбапенемів тільки в тих випадках, коли виявлено стійкість до цефалоспоринів третього покоління) призводить до завищеної оцінки частки стійкості.</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165"/>
      <w:bookmarkEnd w:id="198"/>
      <w:r w:rsidRPr="00ED7D3B">
        <w:rPr>
          <w:rFonts w:ascii="Times New Roman" w:eastAsia="Times New Roman" w:hAnsi="Times New Roman" w:cs="Times New Roman"/>
          <w:b/>
          <w:bCs/>
          <w:color w:val="333333"/>
          <w:sz w:val="24"/>
          <w:szCs w:val="24"/>
          <w:lang w:eastAsia="ru-RU"/>
        </w:rPr>
        <w:t>Похибка, пов’язана з методами об’єднання і аналізу даних</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166"/>
      <w:bookmarkEnd w:id="199"/>
      <w:r w:rsidRPr="00ED7D3B">
        <w:rPr>
          <w:rFonts w:ascii="Times New Roman" w:eastAsia="Times New Roman" w:hAnsi="Times New Roman" w:cs="Times New Roman"/>
          <w:color w:val="333333"/>
          <w:sz w:val="24"/>
          <w:szCs w:val="24"/>
          <w:lang w:eastAsia="ru-RU"/>
        </w:rPr>
        <w:t>Часто в ході захворювання окремих пацієнтів у них проводяться неодноразові забори крові з діагностичною метою та/або для оцінки ефективності лікування. Повторні гемокультури з найбільшою ймовірністю будуть отримані саме від пацієнтів з інфекціями, викликаними стійкими мікроорганізмами, а не від інфікованих патогенами, чутливими до протимікробних препаратів. Підрахунок частки стійкості з урахуванням ізолятів, отриманих повторно від одного і того ж пацієнта, призводить до завищення оцінки за рахунок переважання стійких ізолятів. Щоб уникнути цього в звітну інформацію мають включатися лише дані по першому ізоляту кожного мікроорганізму від кожного індивідуума. Наприклад, якщо в двох посівах крові від одного хворого виявлено ріст </w:t>
      </w:r>
      <w:r w:rsidRPr="00ED7D3B">
        <w:rPr>
          <w:rFonts w:ascii="Times New Roman" w:eastAsia="Times New Roman" w:hAnsi="Times New Roman" w:cs="Times New Roman"/>
          <w:i/>
          <w:iCs/>
          <w:color w:val="333333"/>
          <w:sz w:val="24"/>
          <w:szCs w:val="24"/>
          <w:lang w:eastAsia="ru-RU"/>
        </w:rPr>
        <w:t>E. coli</w:t>
      </w:r>
      <w:r w:rsidRPr="00ED7D3B">
        <w:rPr>
          <w:rFonts w:ascii="Times New Roman" w:eastAsia="Times New Roman" w:hAnsi="Times New Roman" w:cs="Times New Roman"/>
          <w:color w:val="333333"/>
          <w:sz w:val="24"/>
          <w:szCs w:val="24"/>
          <w:lang w:eastAsia="ru-RU"/>
        </w:rPr>
        <w:t>, в звіт слід включати тільки результат першого; якщо в одному посіві виявлено ріст </w:t>
      </w:r>
      <w:r w:rsidRPr="00ED7D3B">
        <w:rPr>
          <w:rFonts w:ascii="Times New Roman" w:eastAsia="Times New Roman" w:hAnsi="Times New Roman" w:cs="Times New Roman"/>
          <w:i/>
          <w:iCs/>
          <w:color w:val="333333"/>
          <w:sz w:val="24"/>
          <w:szCs w:val="24"/>
          <w:lang w:eastAsia="ru-RU"/>
        </w:rPr>
        <w:t>E. coli</w:t>
      </w:r>
      <w:r w:rsidRPr="00ED7D3B">
        <w:rPr>
          <w:rFonts w:ascii="Times New Roman" w:eastAsia="Times New Roman" w:hAnsi="Times New Roman" w:cs="Times New Roman"/>
          <w:color w:val="333333"/>
          <w:sz w:val="24"/>
          <w:szCs w:val="24"/>
          <w:lang w:eastAsia="ru-RU"/>
        </w:rPr>
        <w:t>, а в іншому - </w:t>
      </w:r>
      <w:r w:rsidRPr="00ED7D3B">
        <w:rPr>
          <w:rFonts w:ascii="Times New Roman" w:eastAsia="Times New Roman" w:hAnsi="Times New Roman" w:cs="Times New Roman"/>
          <w:i/>
          <w:iCs/>
          <w:color w:val="333333"/>
          <w:sz w:val="24"/>
          <w:szCs w:val="24"/>
          <w:lang w:eastAsia="ru-RU"/>
        </w:rPr>
        <w:t>K. pneumoniae</w:t>
      </w:r>
      <w:r w:rsidRPr="00ED7D3B">
        <w:rPr>
          <w:rFonts w:ascii="Times New Roman" w:eastAsia="Times New Roman" w:hAnsi="Times New Roman" w:cs="Times New Roman"/>
          <w:color w:val="333333"/>
          <w:sz w:val="24"/>
          <w:szCs w:val="24"/>
          <w:lang w:eastAsia="ru-RU"/>
        </w:rPr>
        <w:t>, в звіт включають обидва результати.</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67"/>
      <w:bookmarkEnd w:id="200"/>
      <w:r w:rsidRPr="00ED7D3B">
        <w:rPr>
          <w:rFonts w:ascii="Times New Roman" w:eastAsia="Times New Roman" w:hAnsi="Times New Roman" w:cs="Times New Roman"/>
          <w:color w:val="333333"/>
          <w:sz w:val="24"/>
          <w:szCs w:val="24"/>
          <w:lang w:eastAsia="ru-RU"/>
        </w:rPr>
        <w:t>В практичній діяльності при інтерпретації результатів тестування чутливості до антибіотиків для повідомлення їх лікуючим лікарям часто використовуються експертні правила. Наприклад, якщо виявлено, що S. аureus стійкий до цефокситину, повідомляється про його стійкість до всіх бета--лактамних протимікробних препаратів. Різні лабораторії можуть використовувати різні експертні правила, що ускладнює зіставлення даних, отриманих в різних лабораторіях або територіях.</w:t>
      </w:r>
    </w:p>
    <w:p w:rsidR="00ED7D3B" w:rsidRPr="00ED7D3B" w:rsidRDefault="00ED7D3B" w:rsidP="00ED7D3B">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68"/>
      <w:bookmarkEnd w:id="201"/>
      <w:r w:rsidRPr="00ED7D3B">
        <w:rPr>
          <w:rFonts w:ascii="Times New Roman" w:eastAsia="Times New Roman" w:hAnsi="Times New Roman" w:cs="Times New Roman"/>
          <w:color w:val="333333"/>
          <w:sz w:val="24"/>
          <w:szCs w:val="24"/>
          <w:lang w:eastAsia="ru-RU"/>
        </w:rPr>
        <w:lastRenderedPageBreak/>
        <w:t>Щоб уникнути систематичних помилок, пов’язаних із застосуванням різних експертних правил, і стандартизувати інтерпретацію результатів, система дозорного епіднагляду передбачає збір всіх результатів, отриманих при тестуванні чутливості до кожного антибіотика.</w:t>
      </w:r>
    </w:p>
    <w:p w:rsidR="0093492C" w:rsidRDefault="0093492C"/>
    <w:sectPr w:rsidR="00934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3B"/>
    <w:rsid w:val="0093492C"/>
    <w:rsid w:val="00ED7D3B"/>
    <w:rsid w:val="00FA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A0A7B-205A-40CB-B4F1-C4713089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9"/>
    <w:qFormat/>
    <w:rsid w:val="00FA55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D7D3B"/>
  </w:style>
  <w:style w:type="paragraph" w:customStyle="1" w:styleId="rvps4">
    <w:name w:val="rvps4"/>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D7D3B"/>
  </w:style>
  <w:style w:type="paragraph" w:customStyle="1" w:styleId="rvps7">
    <w:name w:val="rvps7"/>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D7D3B"/>
  </w:style>
  <w:style w:type="paragraph" w:customStyle="1" w:styleId="rvps14">
    <w:name w:val="rvps14"/>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D7D3B"/>
    <w:rPr>
      <w:color w:val="0000FF"/>
      <w:u w:val="single"/>
    </w:rPr>
  </w:style>
  <w:style w:type="character" w:customStyle="1" w:styleId="rvts52">
    <w:name w:val="rvts52"/>
    <w:basedOn w:val="a0"/>
    <w:rsid w:val="00ED7D3B"/>
  </w:style>
  <w:style w:type="character" w:customStyle="1" w:styleId="rvts44">
    <w:name w:val="rvts44"/>
    <w:basedOn w:val="a0"/>
    <w:rsid w:val="00ED7D3B"/>
  </w:style>
  <w:style w:type="paragraph" w:customStyle="1" w:styleId="rvps15">
    <w:name w:val="rvps15"/>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ED7D3B"/>
  </w:style>
  <w:style w:type="character" w:customStyle="1" w:styleId="rvts80">
    <w:name w:val="rvts80"/>
    <w:basedOn w:val="a0"/>
    <w:rsid w:val="00ED7D3B"/>
  </w:style>
  <w:style w:type="paragraph" w:customStyle="1" w:styleId="rvps12">
    <w:name w:val="rvps12"/>
    <w:basedOn w:val="a"/>
    <w:rsid w:val="00ED7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ED7D3B"/>
  </w:style>
  <w:style w:type="character" w:customStyle="1" w:styleId="30">
    <w:name w:val="Заголовок 3 Знак"/>
    <w:basedOn w:val="a0"/>
    <w:link w:val="3"/>
    <w:uiPriority w:val="99"/>
    <w:rsid w:val="00FA55C4"/>
    <w:rPr>
      <w:rFonts w:ascii="Times New Roman" w:eastAsia="Times New Roman" w:hAnsi="Times New Roman" w:cs="Times New Roman"/>
      <w:b/>
      <w:bCs/>
      <w:sz w:val="27"/>
      <w:szCs w:val="27"/>
      <w:lang w:eastAsia="ru-RU"/>
    </w:rPr>
  </w:style>
  <w:style w:type="paragraph" w:styleId="a4">
    <w:name w:val="Normal (Web)"/>
    <w:basedOn w:val="a"/>
    <w:uiPriority w:val="99"/>
    <w:rsid w:val="00FA55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42637">
      <w:bodyDiv w:val="1"/>
      <w:marLeft w:val="0"/>
      <w:marRight w:val="0"/>
      <w:marTop w:val="0"/>
      <w:marBottom w:val="0"/>
      <w:divBdr>
        <w:top w:val="none" w:sz="0" w:space="0" w:color="auto"/>
        <w:left w:val="none" w:sz="0" w:space="0" w:color="auto"/>
        <w:bottom w:val="none" w:sz="0" w:space="0" w:color="auto"/>
        <w:right w:val="none" w:sz="0" w:space="0" w:color="auto"/>
      </w:divBdr>
      <w:divsChild>
        <w:div w:id="1815441523">
          <w:marLeft w:val="0"/>
          <w:marRight w:val="0"/>
          <w:marTop w:val="150"/>
          <w:marBottom w:val="150"/>
          <w:divBdr>
            <w:top w:val="none" w:sz="0" w:space="0" w:color="auto"/>
            <w:left w:val="none" w:sz="0" w:space="0" w:color="auto"/>
            <w:bottom w:val="none" w:sz="0" w:space="0" w:color="auto"/>
            <w:right w:val="none" w:sz="0" w:space="0" w:color="auto"/>
          </w:divBdr>
        </w:div>
        <w:div w:id="2121997302">
          <w:marLeft w:val="0"/>
          <w:marRight w:val="0"/>
          <w:marTop w:val="0"/>
          <w:marBottom w:val="150"/>
          <w:divBdr>
            <w:top w:val="none" w:sz="0" w:space="0" w:color="auto"/>
            <w:left w:val="none" w:sz="0" w:space="0" w:color="auto"/>
            <w:bottom w:val="none" w:sz="0" w:space="0" w:color="auto"/>
            <w:right w:val="none" w:sz="0" w:space="0" w:color="auto"/>
          </w:divBdr>
        </w:div>
        <w:div w:id="1537502222">
          <w:marLeft w:val="0"/>
          <w:marRight w:val="0"/>
          <w:marTop w:val="0"/>
          <w:marBottom w:val="150"/>
          <w:divBdr>
            <w:top w:val="none" w:sz="0" w:space="0" w:color="auto"/>
            <w:left w:val="none" w:sz="0" w:space="0" w:color="auto"/>
            <w:bottom w:val="none" w:sz="0" w:space="0" w:color="auto"/>
            <w:right w:val="none" w:sz="0" w:space="0" w:color="auto"/>
          </w:divBdr>
        </w:div>
        <w:div w:id="1231967793">
          <w:marLeft w:val="0"/>
          <w:marRight w:val="0"/>
          <w:marTop w:val="0"/>
          <w:marBottom w:val="150"/>
          <w:divBdr>
            <w:top w:val="none" w:sz="0" w:space="0" w:color="auto"/>
            <w:left w:val="none" w:sz="0" w:space="0" w:color="auto"/>
            <w:bottom w:val="none" w:sz="0" w:space="0" w:color="auto"/>
            <w:right w:val="none" w:sz="0" w:space="0" w:color="auto"/>
          </w:divBdr>
        </w:div>
        <w:div w:id="1431395899">
          <w:marLeft w:val="0"/>
          <w:marRight w:val="0"/>
          <w:marTop w:val="0"/>
          <w:marBottom w:val="150"/>
          <w:divBdr>
            <w:top w:val="none" w:sz="0" w:space="0" w:color="auto"/>
            <w:left w:val="none" w:sz="0" w:space="0" w:color="auto"/>
            <w:bottom w:val="none" w:sz="0" w:space="0" w:color="auto"/>
            <w:right w:val="none" w:sz="0" w:space="0" w:color="auto"/>
          </w:divBdr>
        </w:div>
        <w:div w:id="383603400">
          <w:marLeft w:val="0"/>
          <w:marRight w:val="0"/>
          <w:marTop w:val="0"/>
          <w:marBottom w:val="150"/>
          <w:divBdr>
            <w:top w:val="none" w:sz="0" w:space="0" w:color="auto"/>
            <w:left w:val="none" w:sz="0" w:space="0" w:color="auto"/>
            <w:bottom w:val="none" w:sz="0" w:space="0" w:color="auto"/>
            <w:right w:val="none" w:sz="0" w:space="0" w:color="auto"/>
          </w:divBdr>
        </w:div>
        <w:div w:id="2136440223">
          <w:marLeft w:val="0"/>
          <w:marRight w:val="0"/>
          <w:marTop w:val="0"/>
          <w:marBottom w:val="150"/>
          <w:divBdr>
            <w:top w:val="none" w:sz="0" w:space="0" w:color="auto"/>
            <w:left w:val="none" w:sz="0" w:space="0" w:color="auto"/>
            <w:bottom w:val="none" w:sz="0" w:space="0" w:color="auto"/>
            <w:right w:val="none" w:sz="0" w:space="0" w:color="auto"/>
          </w:divBdr>
        </w:div>
        <w:div w:id="461266466">
          <w:marLeft w:val="0"/>
          <w:marRight w:val="0"/>
          <w:marTop w:val="0"/>
          <w:marBottom w:val="150"/>
          <w:divBdr>
            <w:top w:val="none" w:sz="0" w:space="0" w:color="auto"/>
            <w:left w:val="none" w:sz="0" w:space="0" w:color="auto"/>
            <w:bottom w:val="none" w:sz="0" w:space="0" w:color="auto"/>
            <w:right w:val="none" w:sz="0" w:space="0" w:color="auto"/>
          </w:divBdr>
        </w:div>
        <w:div w:id="1723869433">
          <w:marLeft w:val="0"/>
          <w:marRight w:val="0"/>
          <w:marTop w:val="0"/>
          <w:marBottom w:val="150"/>
          <w:divBdr>
            <w:top w:val="none" w:sz="0" w:space="0" w:color="auto"/>
            <w:left w:val="none" w:sz="0" w:space="0" w:color="auto"/>
            <w:bottom w:val="none" w:sz="0" w:space="0" w:color="auto"/>
            <w:right w:val="none" w:sz="0" w:space="0" w:color="auto"/>
          </w:divBdr>
        </w:div>
        <w:div w:id="93864930">
          <w:marLeft w:val="0"/>
          <w:marRight w:val="0"/>
          <w:marTop w:val="0"/>
          <w:marBottom w:val="150"/>
          <w:divBdr>
            <w:top w:val="none" w:sz="0" w:space="0" w:color="auto"/>
            <w:left w:val="none" w:sz="0" w:space="0" w:color="auto"/>
            <w:bottom w:val="none" w:sz="0" w:space="0" w:color="auto"/>
            <w:right w:val="none" w:sz="0" w:space="0" w:color="auto"/>
          </w:divBdr>
        </w:div>
        <w:div w:id="1855725058">
          <w:marLeft w:val="0"/>
          <w:marRight w:val="0"/>
          <w:marTop w:val="0"/>
          <w:marBottom w:val="150"/>
          <w:divBdr>
            <w:top w:val="none" w:sz="0" w:space="0" w:color="auto"/>
            <w:left w:val="none" w:sz="0" w:space="0" w:color="auto"/>
            <w:bottom w:val="none" w:sz="0" w:space="0" w:color="auto"/>
            <w:right w:val="none" w:sz="0" w:space="0" w:color="auto"/>
          </w:divBdr>
        </w:div>
        <w:div w:id="2104719855">
          <w:marLeft w:val="0"/>
          <w:marRight w:val="0"/>
          <w:marTop w:val="0"/>
          <w:marBottom w:val="150"/>
          <w:divBdr>
            <w:top w:val="none" w:sz="0" w:space="0" w:color="auto"/>
            <w:left w:val="none" w:sz="0" w:space="0" w:color="auto"/>
            <w:bottom w:val="none" w:sz="0" w:space="0" w:color="auto"/>
            <w:right w:val="none" w:sz="0" w:space="0" w:color="auto"/>
          </w:divBdr>
        </w:div>
        <w:div w:id="4085756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1-12" TargetMode="External"/><Relationship Id="rId13" Type="http://schemas.openxmlformats.org/officeDocument/2006/relationships/hyperlink" Target="https://zakon.rada.gov.ua/laws/show/z1316-21" TargetMode="External"/><Relationship Id="rId3" Type="http://schemas.openxmlformats.org/officeDocument/2006/relationships/webSettings" Target="webSettings.xml"/><Relationship Id="rId7" Type="http://schemas.openxmlformats.org/officeDocument/2006/relationships/hyperlink" Target="https://zakon.rada.gov.ua/laws/show/z1316-21" TargetMode="External"/><Relationship Id="rId12" Type="http://schemas.openxmlformats.org/officeDocument/2006/relationships/hyperlink" Target="https://zakon.rada.gov.ua/laws/show/z1316-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67-2015-%D0%BF" TargetMode="External"/><Relationship Id="rId11" Type="http://schemas.openxmlformats.org/officeDocument/2006/relationships/hyperlink" Target="https://zakon.rada.gov.ua/laws/show/z1316-21" TargetMode="External"/><Relationship Id="rId5" Type="http://schemas.openxmlformats.org/officeDocument/2006/relationships/hyperlink" Target="https://zakon.rada.gov.ua/laws/show/116-2019-%D1%80" TargetMode="External"/><Relationship Id="rId15" Type="http://schemas.openxmlformats.org/officeDocument/2006/relationships/theme" Target="theme/theme1.xml"/><Relationship Id="rId10" Type="http://schemas.openxmlformats.org/officeDocument/2006/relationships/hyperlink" Target="https://zakon.rada.gov.ua/laws/show/z1316-21" TargetMode="External"/><Relationship Id="rId4" Type="http://schemas.openxmlformats.org/officeDocument/2006/relationships/hyperlink" Target="https://zakon.rada.gov.ua/laws/show/1645-14" TargetMode="External"/><Relationship Id="rId9" Type="http://schemas.openxmlformats.org/officeDocument/2006/relationships/hyperlink" Target="https://zakon.rada.gov.ua/laws/show/1645-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6057</Words>
  <Characters>34526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2021-12-06T14:58:00Z</dcterms:created>
  <dcterms:modified xsi:type="dcterms:W3CDTF">2021-12-06T15:00:00Z</dcterms:modified>
</cp:coreProperties>
</file>