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50A" w:rsidRPr="000A550A" w:rsidRDefault="000A550A" w:rsidP="000A550A">
      <w:pPr>
        <w:spacing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</w:pPr>
      <w:r w:rsidRPr="000A550A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КАБІНЕТ МІНІ</w:t>
      </w:r>
      <w:proofErr w:type="gramStart"/>
      <w:r w:rsidRPr="000A550A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СТР</w:t>
      </w:r>
      <w:proofErr w:type="gramEnd"/>
      <w:r w:rsidRPr="000A550A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ІВ УКРАЇНИ</w:t>
      </w:r>
    </w:p>
    <w:p w:rsidR="000A550A" w:rsidRPr="000A550A" w:rsidRDefault="000A550A" w:rsidP="000A550A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spacing w:val="30"/>
          <w:sz w:val="27"/>
          <w:szCs w:val="27"/>
          <w:lang w:eastAsia="ru-RU"/>
        </w:rPr>
      </w:pPr>
      <w:r w:rsidRPr="000A550A">
        <w:rPr>
          <w:rFonts w:ascii="ProbaPro" w:eastAsia="Times New Roman" w:hAnsi="ProbaPro" w:cs="Times New Roman"/>
          <w:b/>
          <w:bCs/>
          <w:caps/>
          <w:spacing w:val="30"/>
          <w:sz w:val="27"/>
          <w:szCs w:val="27"/>
          <w:lang w:eastAsia="ru-RU"/>
        </w:rPr>
        <w:t>ПОСТАНОВА</w:t>
      </w:r>
    </w:p>
    <w:p w:rsidR="000A550A" w:rsidRPr="000A550A" w:rsidRDefault="000A550A" w:rsidP="000A550A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</w:pPr>
      <w:proofErr w:type="spellStart"/>
      <w:r w:rsidRPr="000A550A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>від</w:t>
      </w:r>
      <w:proofErr w:type="spellEnd"/>
      <w:r w:rsidRPr="000A550A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 xml:space="preserve"> 30 </w:t>
      </w:r>
      <w:proofErr w:type="spellStart"/>
      <w:r w:rsidRPr="000A550A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>квітня</w:t>
      </w:r>
      <w:proofErr w:type="spellEnd"/>
      <w:r w:rsidRPr="000A550A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 xml:space="preserve"> 2021 р. № 448</w:t>
      </w:r>
    </w:p>
    <w:p w:rsidR="000A550A" w:rsidRPr="000A550A" w:rsidRDefault="000A550A" w:rsidP="000A550A">
      <w:pPr>
        <w:spacing w:line="240" w:lineRule="auto"/>
        <w:jc w:val="center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Киї</w:t>
      </w:r>
      <w:proofErr w:type="gram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в</w:t>
      </w:r>
      <w:proofErr w:type="spellEnd"/>
      <w:proofErr w:type="gramEnd"/>
    </w:p>
    <w:p w:rsidR="000A550A" w:rsidRPr="000A550A" w:rsidRDefault="000A550A" w:rsidP="000A550A">
      <w:pPr>
        <w:spacing w:line="360" w:lineRule="atLeast"/>
        <w:jc w:val="center"/>
        <w:textAlignment w:val="baseline"/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</w:pPr>
      <w:r w:rsidRPr="000A550A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Про </w:t>
      </w:r>
      <w:proofErr w:type="spellStart"/>
      <w:r w:rsidRPr="000A550A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внесення</w:t>
      </w:r>
      <w:proofErr w:type="spellEnd"/>
      <w:r w:rsidRPr="000A550A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змін</w:t>
      </w:r>
      <w:proofErr w:type="spellEnd"/>
      <w:r w:rsidRPr="000A550A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до Порядку </w:t>
      </w:r>
      <w:proofErr w:type="spellStart"/>
      <w:r w:rsidRPr="000A550A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реалізації</w:t>
      </w:r>
      <w:proofErr w:type="spellEnd"/>
      <w:r w:rsidRPr="000A550A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програми</w:t>
      </w:r>
      <w:proofErr w:type="spellEnd"/>
      <w:r w:rsidRPr="000A550A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державних</w:t>
      </w:r>
      <w:proofErr w:type="spellEnd"/>
      <w:r w:rsidRPr="000A550A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гарантій</w:t>
      </w:r>
      <w:proofErr w:type="spellEnd"/>
      <w:r w:rsidRPr="000A550A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медичного</w:t>
      </w:r>
      <w:proofErr w:type="spellEnd"/>
      <w:r w:rsidRPr="000A550A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обслуговування</w:t>
      </w:r>
      <w:proofErr w:type="spellEnd"/>
      <w:r w:rsidRPr="000A550A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населення</w:t>
      </w:r>
      <w:proofErr w:type="spellEnd"/>
      <w:r w:rsidRPr="000A550A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у ІІ — ІV </w:t>
      </w:r>
      <w:proofErr w:type="gramStart"/>
      <w:r w:rsidRPr="000A550A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кварталах</w:t>
      </w:r>
      <w:proofErr w:type="gramEnd"/>
      <w:r w:rsidRPr="000A550A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2021 року</w:t>
      </w:r>
    </w:p>
    <w:p w:rsidR="000A550A" w:rsidRPr="000A550A" w:rsidRDefault="000A550A" w:rsidP="000A550A">
      <w:pPr>
        <w:shd w:val="clear" w:color="auto" w:fill="FFFFFF"/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Кабінет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Міні</w:t>
      </w:r>
      <w:proofErr w:type="gram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стр</w:t>
      </w:r>
      <w:proofErr w:type="gram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ів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 </w:t>
      </w:r>
      <w:proofErr w:type="spellStart"/>
      <w:r w:rsidRPr="000A550A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постановляє</w:t>
      </w:r>
      <w:proofErr w:type="spellEnd"/>
      <w:r w:rsidRPr="000A550A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:</w:t>
      </w:r>
    </w:p>
    <w:p w:rsidR="000A550A" w:rsidRPr="000A550A" w:rsidRDefault="000A550A" w:rsidP="000A550A">
      <w:pPr>
        <w:shd w:val="clear" w:color="auto" w:fill="FFFFFF"/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1. Внести до Порядку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реалізації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програми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державних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гарантій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медичного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обслуговування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населення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у II — IV кварталах 2021 року,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затвердженого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постановою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Кабінету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Міні</w:t>
      </w:r>
      <w:proofErr w:type="gram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стр</w:t>
      </w:r>
      <w:proofErr w:type="gram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ів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від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15 лютого  2021 р. № 133 “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Деякі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питання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реалізації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програми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державних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гарантій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медичного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обслуговування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населення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у II — IV кварталах 2021 року” (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Офіційний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вісник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2021 р., № 19, ст. 792, № 25, ст. 1164, № 28, ст. 1588),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зміни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що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додаються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.</w:t>
      </w:r>
    </w:p>
    <w:p w:rsidR="000A550A" w:rsidRPr="000A550A" w:rsidRDefault="000A550A" w:rsidP="000A550A">
      <w:pPr>
        <w:shd w:val="clear" w:color="auto" w:fill="FFFFFF"/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2.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Раді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міні</w:t>
      </w:r>
      <w:proofErr w:type="gram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стр</w:t>
      </w:r>
      <w:proofErr w:type="gram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ів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Автономної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Республіки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Крим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обласним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Київській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Севастопольській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міським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державним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адміністраціям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протягом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трьох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робочих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днів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дати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набрання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чинності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цією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постановою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забезпечити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подання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Міністерством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охорони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здоров’я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Автономної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Республіки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Крим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структурними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підрозділами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питань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охорони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здоров’я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відповідних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державних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адм</w:t>
      </w:r>
      <w:proofErr w:type="gram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іністрацій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до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Національної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служби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здоров’я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переліку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закладів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охорони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здоров’я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(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із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зазначенням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коду ЄДРПОУ),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визначених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тимчасово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для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надання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медичної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допомоги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виключно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пацієнтам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підтвердженим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підозрілим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випадком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гострої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респіраторної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хвороби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COVID-19,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спричиненої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коронавірусом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SARS-CoV-2,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розташованих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на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відповідній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адміністративно-територіальній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одиниці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.</w:t>
      </w:r>
    </w:p>
    <w:p w:rsidR="000A550A" w:rsidRPr="000A550A" w:rsidRDefault="000A550A" w:rsidP="000A550A">
      <w:pPr>
        <w:shd w:val="clear" w:color="auto" w:fill="FFFFFF"/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3.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Ця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постанова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набирає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чинності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 дня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її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опублікування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і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застосовується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 1 </w:t>
      </w:r>
      <w:proofErr w:type="spellStart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>квітня</w:t>
      </w:r>
      <w:proofErr w:type="spellEnd"/>
      <w:r w:rsidRPr="000A550A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2021 року.</w:t>
      </w:r>
    </w:p>
    <w:p w:rsidR="000A550A" w:rsidRPr="000A550A" w:rsidRDefault="000A550A" w:rsidP="000A550A">
      <w:pPr>
        <w:shd w:val="clear" w:color="auto" w:fill="FFFFFF"/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</w:p>
    <w:p w:rsidR="000A550A" w:rsidRPr="000A550A" w:rsidRDefault="000A550A" w:rsidP="000A550A">
      <w:pPr>
        <w:shd w:val="clear" w:color="auto" w:fill="FFFFFF"/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0A550A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Прем’єр-міні</w:t>
      </w:r>
      <w:proofErr w:type="gramStart"/>
      <w:r w:rsidRPr="000A550A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стр</w:t>
      </w:r>
      <w:proofErr w:type="spellEnd"/>
      <w:proofErr w:type="gramEnd"/>
      <w:r w:rsidRPr="000A550A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0A550A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України</w:t>
      </w:r>
      <w:proofErr w:type="spellEnd"/>
      <w:r w:rsidRPr="000A550A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0A550A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0A550A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0A550A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0A550A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0A550A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0A550A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  <w:t xml:space="preserve"> Д. ШМИГАЛЬ</w:t>
      </w:r>
    </w:p>
    <w:p w:rsidR="00942834" w:rsidRDefault="00942834"/>
    <w:p w:rsidR="00450B5B" w:rsidRPr="00EA03A0" w:rsidRDefault="00450B5B" w:rsidP="000B2603">
      <w:pPr>
        <w:pStyle w:val="ShapkaDocumentu"/>
        <w:rPr>
          <w:rFonts w:ascii="Times New Roman" w:hAnsi="Times New Roman"/>
          <w:sz w:val="28"/>
          <w:szCs w:val="28"/>
        </w:rPr>
      </w:pPr>
      <w:r w:rsidRPr="00EA03A0">
        <w:rPr>
          <w:rFonts w:ascii="Times New Roman" w:hAnsi="Times New Roman"/>
          <w:sz w:val="28"/>
          <w:szCs w:val="28"/>
        </w:rPr>
        <w:lastRenderedPageBreak/>
        <w:t>ЗАТВЕРДЖЕНО</w:t>
      </w:r>
      <w:r w:rsidRPr="00EA03A0">
        <w:rPr>
          <w:rFonts w:ascii="Times New Roman" w:hAnsi="Times New Roman"/>
          <w:sz w:val="28"/>
          <w:szCs w:val="28"/>
        </w:rPr>
        <w:br/>
        <w:t xml:space="preserve">постановою Кабінету Міністрів України </w:t>
      </w:r>
      <w:r w:rsidRPr="00EA03A0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30 квітня </w:t>
      </w:r>
      <w:r w:rsidRPr="00EA03A0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448</w:t>
      </w:r>
    </w:p>
    <w:p w:rsidR="00450B5B" w:rsidRDefault="00450B5B" w:rsidP="000B2603">
      <w:pPr>
        <w:pStyle w:val="a6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450B5B" w:rsidRDefault="00450B5B" w:rsidP="000B2603">
      <w:pPr>
        <w:pStyle w:val="a6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450B5B" w:rsidRDefault="00450B5B" w:rsidP="000B2603">
      <w:pPr>
        <w:pStyle w:val="a6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A03A0">
        <w:rPr>
          <w:rFonts w:ascii="Times New Roman" w:hAnsi="Times New Roman"/>
          <w:b w:val="0"/>
          <w:sz w:val="28"/>
          <w:szCs w:val="28"/>
        </w:rPr>
        <w:t>ЗМІНИ,</w:t>
      </w:r>
      <w:r w:rsidRPr="00EA03A0">
        <w:rPr>
          <w:rFonts w:ascii="Times New Roman" w:hAnsi="Times New Roman"/>
          <w:b w:val="0"/>
          <w:sz w:val="28"/>
          <w:szCs w:val="28"/>
        </w:rPr>
        <w:br/>
        <w:t xml:space="preserve">що вносяться до </w:t>
      </w:r>
      <w:r w:rsidRPr="001E372A">
        <w:rPr>
          <w:rFonts w:ascii="Times New Roman" w:hAnsi="Times New Roman"/>
          <w:b w:val="0"/>
          <w:sz w:val="28"/>
          <w:szCs w:val="28"/>
        </w:rPr>
        <w:t xml:space="preserve">Порядку реалізації програми </w:t>
      </w:r>
      <w:r w:rsidRPr="000B2603">
        <w:rPr>
          <w:rFonts w:ascii="Times New Roman" w:hAnsi="Times New Roman"/>
          <w:b w:val="0"/>
          <w:sz w:val="28"/>
          <w:szCs w:val="28"/>
          <w:lang w:val="ru-RU"/>
        </w:rPr>
        <w:br/>
      </w:r>
      <w:r w:rsidRPr="001E372A">
        <w:rPr>
          <w:rFonts w:ascii="Times New Roman" w:hAnsi="Times New Roman"/>
          <w:b w:val="0"/>
          <w:sz w:val="28"/>
          <w:szCs w:val="28"/>
        </w:rPr>
        <w:t xml:space="preserve">державних гарантій медичного обслуговування </w:t>
      </w:r>
      <w:r w:rsidRPr="000B2603">
        <w:rPr>
          <w:rFonts w:ascii="Times New Roman" w:hAnsi="Times New Roman"/>
          <w:b w:val="0"/>
          <w:sz w:val="28"/>
          <w:szCs w:val="28"/>
          <w:lang w:val="ru-RU"/>
        </w:rPr>
        <w:br/>
      </w:r>
      <w:r w:rsidRPr="001E372A">
        <w:rPr>
          <w:rFonts w:ascii="Times New Roman" w:hAnsi="Times New Roman"/>
          <w:b w:val="0"/>
          <w:sz w:val="28"/>
          <w:szCs w:val="28"/>
        </w:rPr>
        <w:t xml:space="preserve">населення </w:t>
      </w:r>
      <w:r>
        <w:rPr>
          <w:rFonts w:ascii="Times New Roman" w:hAnsi="Times New Roman"/>
          <w:b w:val="0"/>
          <w:sz w:val="28"/>
          <w:szCs w:val="28"/>
        </w:rPr>
        <w:t>у ІІ</w:t>
      </w:r>
      <w:r w:rsidRPr="000B2603">
        <w:rPr>
          <w:rFonts w:ascii="Times New Roman" w:hAnsi="Times New Roman"/>
          <w:b w:val="0"/>
          <w:sz w:val="28"/>
          <w:szCs w:val="28"/>
          <w:lang w:val="ru-RU"/>
        </w:rPr>
        <w:t>—</w:t>
      </w:r>
      <w:r w:rsidRPr="001E372A">
        <w:rPr>
          <w:rFonts w:ascii="Times New Roman" w:hAnsi="Times New Roman"/>
          <w:b w:val="0"/>
          <w:sz w:val="28"/>
          <w:szCs w:val="28"/>
        </w:rPr>
        <w:t>ІV кварталах 2021 року</w:t>
      </w:r>
    </w:p>
    <w:p w:rsidR="00450B5B" w:rsidRPr="001E372A" w:rsidRDefault="00450B5B" w:rsidP="000B2603">
      <w:pPr>
        <w:pStyle w:val="a5"/>
      </w:pPr>
    </w:p>
    <w:p w:rsidR="00450B5B" w:rsidRDefault="00450B5B" w:rsidP="000B2603">
      <w:pPr>
        <w:pStyle w:val="a5"/>
        <w:spacing w:before="0" w:after="120"/>
        <w:jc w:val="both"/>
        <w:rPr>
          <w:rFonts w:ascii="Times New Roman" w:hAnsi="Times New Roman"/>
          <w:sz w:val="28"/>
          <w:szCs w:val="28"/>
        </w:rPr>
      </w:pPr>
      <w:r w:rsidRPr="00EA03A0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Абзац другий пункту 7 замінити абзацами такого змісту:</w:t>
      </w:r>
    </w:p>
    <w:p w:rsidR="00450B5B" w:rsidRPr="001E372A" w:rsidRDefault="00450B5B" w:rsidP="000B2603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 w:rsidRPr="001E372A">
        <w:rPr>
          <w:rFonts w:ascii="Times New Roman" w:hAnsi="Times New Roman"/>
          <w:sz w:val="28"/>
          <w:szCs w:val="28"/>
        </w:rPr>
        <w:t>НСЗУ не оплачує медичні послуги, які надаються за направленнями в паперовій формі, крім випадків</w:t>
      </w:r>
      <w:r>
        <w:rPr>
          <w:rFonts w:ascii="Times New Roman" w:hAnsi="Times New Roman"/>
          <w:sz w:val="28"/>
          <w:szCs w:val="28"/>
        </w:rPr>
        <w:t xml:space="preserve"> направлення</w:t>
      </w:r>
      <w:r w:rsidRPr="001E372A">
        <w:rPr>
          <w:rFonts w:ascii="Times New Roman" w:hAnsi="Times New Roman"/>
          <w:sz w:val="28"/>
          <w:szCs w:val="28"/>
        </w:rPr>
        <w:t>:</w:t>
      </w:r>
    </w:p>
    <w:p w:rsidR="00450B5B" w:rsidRPr="001E372A" w:rsidRDefault="00450B5B" w:rsidP="000B2603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1E372A">
        <w:rPr>
          <w:rFonts w:ascii="Times New Roman" w:hAnsi="Times New Roman"/>
          <w:sz w:val="28"/>
          <w:szCs w:val="28"/>
        </w:rPr>
        <w:t xml:space="preserve">пацієнтів для отримання послуг </w:t>
      </w:r>
      <w:r>
        <w:rPr>
          <w:rFonts w:ascii="Times New Roman" w:hAnsi="Times New Roman"/>
          <w:sz w:val="28"/>
          <w:szCs w:val="28"/>
        </w:rPr>
        <w:t xml:space="preserve">до </w:t>
      </w:r>
      <w:r w:rsidRPr="001E372A">
        <w:rPr>
          <w:rFonts w:ascii="Times New Roman" w:hAnsi="Times New Roman"/>
          <w:sz w:val="28"/>
          <w:szCs w:val="28"/>
        </w:rPr>
        <w:t>лікар</w:t>
      </w:r>
      <w:r>
        <w:rPr>
          <w:rFonts w:ascii="Times New Roman" w:hAnsi="Times New Roman"/>
          <w:sz w:val="28"/>
          <w:szCs w:val="28"/>
        </w:rPr>
        <w:t xml:space="preserve">я, який надає первинну медичну допомогу, </w:t>
      </w:r>
      <w:r w:rsidRPr="000B2603">
        <w:rPr>
          <w:rFonts w:ascii="Times New Roman" w:hAnsi="Times New Roman"/>
          <w:sz w:val="28"/>
          <w:szCs w:val="28"/>
          <w:lang w:val="ru-RU"/>
        </w:rPr>
        <w:t>—</w:t>
      </w:r>
      <w:r w:rsidRPr="001E372A">
        <w:rPr>
          <w:rFonts w:ascii="Times New Roman" w:hAnsi="Times New Roman"/>
          <w:sz w:val="28"/>
          <w:szCs w:val="28"/>
        </w:rPr>
        <w:t xml:space="preserve"> до забезпечення створення технічної можливості для здійснення таких направлень через електронну систему охорони здоров’я</w:t>
      </w:r>
      <w:r>
        <w:rPr>
          <w:rFonts w:ascii="Times New Roman" w:hAnsi="Times New Roman"/>
          <w:sz w:val="28"/>
          <w:szCs w:val="28"/>
        </w:rPr>
        <w:t>;</w:t>
      </w:r>
    </w:p>
    <w:p w:rsidR="00450B5B" w:rsidRPr="001E372A" w:rsidRDefault="00450B5B" w:rsidP="000B2603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1E372A">
        <w:rPr>
          <w:rFonts w:ascii="Times New Roman" w:hAnsi="Times New Roman"/>
          <w:sz w:val="28"/>
          <w:szCs w:val="28"/>
        </w:rPr>
        <w:t>пацієнтів, які потребують медичних послуг у зв’язку з розладами психіки та поведінки</w:t>
      </w:r>
      <w:r>
        <w:rPr>
          <w:rFonts w:ascii="Times New Roman" w:hAnsi="Times New Roman"/>
          <w:sz w:val="28"/>
          <w:szCs w:val="28"/>
        </w:rPr>
        <w:t>,</w:t>
      </w:r>
      <w:r w:rsidRPr="001E372A">
        <w:rPr>
          <w:rFonts w:ascii="Times New Roman" w:hAnsi="Times New Roman"/>
          <w:sz w:val="28"/>
          <w:szCs w:val="28"/>
        </w:rPr>
        <w:t xml:space="preserve"> </w:t>
      </w:r>
      <w:r w:rsidRPr="000B2603">
        <w:rPr>
          <w:rFonts w:ascii="Times New Roman" w:hAnsi="Times New Roman"/>
          <w:sz w:val="28"/>
          <w:szCs w:val="28"/>
          <w:lang w:val="ru-RU"/>
        </w:rPr>
        <w:t>—</w:t>
      </w:r>
      <w:r w:rsidRPr="001E372A">
        <w:rPr>
          <w:rFonts w:ascii="Times New Roman" w:hAnsi="Times New Roman"/>
          <w:sz w:val="28"/>
          <w:szCs w:val="28"/>
        </w:rPr>
        <w:t xml:space="preserve"> до забезпечення створення технічної можливості для здійснення таких направлень через електронну систему охорони здоров’я;</w:t>
      </w:r>
    </w:p>
    <w:p w:rsidR="00450B5B" w:rsidRDefault="00450B5B" w:rsidP="000B2603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7C2E6A">
        <w:rPr>
          <w:rFonts w:ascii="Times New Roman" w:hAnsi="Times New Roman"/>
          <w:sz w:val="28"/>
          <w:szCs w:val="28"/>
        </w:rPr>
        <w:t>пацієнтів, які утримуються в установах виконання покарань або слідчих ізоляторах Державної кримінально-виконавчої служби</w:t>
      </w:r>
      <w:r>
        <w:rPr>
          <w:rFonts w:ascii="Times New Roman" w:hAnsi="Times New Roman"/>
          <w:sz w:val="28"/>
          <w:szCs w:val="28"/>
        </w:rPr>
        <w:t>,</w:t>
      </w:r>
      <w:r w:rsidRPr="007C2E6A">
        <w:rPr>
          <w:rFonts w:ascii="Times New Roman" w:hAnsi="Times New Roman"/>
          <w:sz w:val="28"/>
          <w:szCs w:val="28"/>
        </w:rPr>
        <w:t xml:space="preserve"> </w:t>
      </w:r>
      <w:r w:rsidRPr="000B2603">
        <w:rPr>
          <w:rFonts w:ascii="Times New Roman" w:hAnsi="Times New Roman"/>
          <w:sz w:val="28"/>
          <w:szCs w:val="28"/>
        </w:rPr>
        <w:t>—</w:t>
      </w:r>
      <w:r w:rsidRPr="007C2E6A">
        <w:rPr>
          <w:rFonts w:ascii="Times New Roman" w:hAnsi="Times New Roman"/>
          <w:sz w:val="28"/>
          <w:szCs w:val="28"/>
        </w:rPr>
        <w:t xml:space="preserve"> до забезпечення </w:t>
      </w:r>
      <w:r>
        <w:rPr>
          <w:rFonts w:ascii="Times New Roman" w:hAnsi="Times New Roman"/>
          <w:sz w:val="28"/>
          <w:szCs w:val="28"/>
        </w:rPr>
        <w:t xml:space="preserve">створення </w:t>
      </w:r>
      <w:r w:rsidRPr="007C2E6A">
        <w:rPr>
          <w:rFonts w:ascii="Times New Roman" w:hAnsi="Times New Roman"/>
          <w:sz w:val="28"/>
          <w:szCs w:val="28"/>
        </w:rPr>
        <w:t>закладами охорони здоров’я Державної кримінально-виконавчої служби технічної можливості виписувати електронні направлення.”.</w:t>
      </w:r>
    </w:p>
    <w:p w:rsidR="00450B5B" w:rsidRDefault="00450B5B" w:rsidP="000B2603">
      <w:pPr>
        <w:pStyle w:val="a5"/>
        <w:spacing w:before="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звʼязку</w:t>
      </w:r>
      <w:proofErr w:type="spellEnd"/>
      <w:r>
        <w:rPr>
          <w:rFonts w:ascii="Times New Roman" w:hAnsi="Times New Roman"/>
          <w:sz w:val="28"/>
          <w:szCs w:val="28"/>
        </w:rPr>
        <w:t xml:space="preserve"> з цим абзаци третій і четвертий вважати відповідно абзацами шостим і сьомим.</w:t>
      </w:r>
    </w:p>
    <w:p w:rsidR="00450B5B" w:rsidRDefault="00450B5B" w:rsidP="000B2603">
      <w:pPr>
        <w:pStyle w:val="a5"/>
        <w:spacing w:before="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 пункті 12:</w:t>
      </w:r>
    </w:p>
    <w:p w:rsidR="00450B5B" w:rsidRDefault="00450B5B" w:rsidP="000B2603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 абзаци третій і четвертий викласти в такій редакції:</w:t>
      </w:r>
    </w:p>
    <w:p w:rsidR="00450B5B" w:rsidRDefault="00450B5B" w:rsidP="000B2603">
      <w:pPr>
        <w:pStyle w:val="a5"/>
        <w:spacing w:before="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“зазначених у главах 22 та</w:t>
      </w:r>
      <w:r w:rsidRPr="00223F22">
        <w:rPr>
          <w:rFonts w:ascii="Times New Roman" w:hAnsi="Times New Roman"/>
          <w:sz w:val="28"/>
          <w:szCs w:val="28"/>
        </w:rPr>
        <w:t xml:space="preserve"> 3 (щодо стаціонарної медичної допомоги без проведення хірургічних втручань) розділу II цього Порядку, із спеціалізованими закладами з надання психіатричної допомоги та закладами з охорони психічного здоров’я, крім надавачів медичних послуг</w:t>
      </w:r>
      <w:r>
        <w:rPr>
          <w:rFonts w:ascii="Times New Roman" w:hAnsi="Times New Roman"/>
          <w:sz w:val="28"/>
          <w:szCs w:val="28"/>
        </w:rPr>
        <w:t>, які надають медичні послуги, зазначені у</w:t>
      </w:r>
      <w:r w:rsidRPr="00223F22">
        <w:rPr>
          <w:rFonts w:ascii="Times New Roman" w:hAnsi="Times New Roman"/>
          <w:sz w:val="28"/>
          <w:szCs w:val="28"/>
        </w:rPr>
        <w:t xml:space="preserve"> глав</w:t>
      </w:r>
      <w:r>
        <w:rPr>
          <w:rFonts w:ascii="Times New Roman" w:hAnsi="Times New Roman"/>
          <w:sz w:val="28"/>
          <w:szCs w:val="28"/>
        </w:rPr>
        <w:t>і</w:t>
      </w:r>
      <w:r w:rsidRPr="00223F22">
        <w:rPr>
          <w:rFonts w:ascii="Times New Roman" w:hAnsi="Times New Roman"/>
          <w:sz w:val="28"/>
          <w:szCs w:val="28"/>
        </w:rPr>
        <w:t xml:space="preserve"> 4 розділу II цього Порядку, або надання таких послуг передбачається за договором;</w:t>
      </w:r>
    </w:p>
    <w:p w:rsidR="00450B5B" w:rsidRDefault="00450B5B" w:rsidP="000B2603">
      <w:pPr>
        <w:pStyle w:val="a5"/>
        <w:spacing w:before="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зазначених у главах 24 та</w:t>
      </w:r>
      <w:r w:rsidRPr="001D54EE">
        <w:rPr>
          <w:rFonts w:ascii="Times New Roman" w:hAnsi="Times New Roman"/>
          <w:sz w:val="28"/>
          <w:szCs w:val="28"/>
        </w:rPr>
        <w:t xml:space="preserve"> 3 (щодо стаціонарної медичної допомоги без проведення хірургічних втручань) розділу II цього Порядку, із спеціалізованими </w:t>
      </w:r>
      <w:r>
        <w:rPr>
          <w:rFonts w:ascii="Times New Roman" w:hAnsi="Times New Roman"/>
          <w:sz w:val="28"/>
          <w:szCs w:val="28"/>
        </w:rPr>
        <w:t>проти</w:t>
      </w:r>
      <w:r w:rsidRPr="001D54EE">
        <w:rPr>
          <w:rFonts w:ascii="Times New Roman" w:hAnsi="Times New Roman"/>
          <w:sz w:val="28"/>
          <w:szCs w:val="28"/>
        </w:rPr>
        <w:t xml:space="preserve">туберкульозними закладами (диспансерами) охорони здоров’я, крім надавачів медичних послуг, які надають медичні послуги, передбачені пакетом медичних послуг, </w:t>
      </w:r>
      <w:r>
        <w:rPr>
          <w:rFonts w:ascii="Times New Roman" w:hAnsi="Times New Roman"/>
          <w:sz w:val="28"/>
          <w:szCs w:val="28"/>
        </w:rPr>
        <w:t>визначеним</w:t>
      </w:r>
      <w:r w:rsidRPr="001D54EE">
        <w:rPr>
          <w:rFonts w:ascii="Times New Roman" w:hAnsi="Times New Roman"/>
          <w:sz w:val="28"/>
          <w:szCs w:val="28"/>
        </w:rPr>
        <w:t xml:space="preserve"> у главі 33 розділу II цього Порядку, або надання таких послуг передбачається за договором. У разі включення до договору одночасно пакетів медичних послуг, </w:t>
      </w:r>
      <w:r>
        <w:rPr>
          <w:rFonts w:ascii="Times New Roman" w:hAnsi="Times New Roman"/>
          <w:sz w:val="28"/>
          <w:szCs w:val="28"/>
        </w:rPr>
        <w:t>визначених у главах 24 та</w:t>
      </w:r>
      <w:r w:rsidRPr="001D54EE">
        <w:rPr>
          <w:rFonts w:ascii="Times New Roman" w:hAnsi="Times New Roman"/>
          <w:sz w:val="28"/>
          <w:szCs w:val="28"/>
        </w:rPr>
        <w:t xml:space="preserve"> 3 розділу ІІ цього Порядку, НСЗУ припиняє оплату медичних </w:t>
      </w:r>
      <w:r w:rsidRPr="001D54EE">
        <w:rPr>
          <w:rFonts w:ascii="Times New Roman" w:hAnsi="Times New Roman"/>
          <w:sz w:val="28"/>
          <w:szCs w:val="28"/>
        </w:rPr>
        <w:lastRenderedPageBreak/>
        <w:t xml:space="preserve">послуг, </w:t>
      </w:r>
      <w:r>
        <w:rPr>
          <w:rFonts w:ascii="Times New Roman" w:hAnsi="Times New Roman"/>
          <w:sz w:val="28"/>
          <w:szCs w:val="28"/>
        </w:rPr>
        <w:t>зазначених</w:t>
      </w:r>
      <w:r w:rsidRPr="001D54EE">
        <w:rPr>
          <w:rFonts w:ascii="Times New Roman" w:hAnsi="Times New Roman"/>
          <w:sz w:val="28"/>
          <w:szCs w:val="28"/>
        </w:rPr>
        <w:t xml:space="preserve"> главою 3 розділу ІІ цього Порядку, через місяць після припинення оплати медичних послуг, </w:t>
      </w:r>
      <w:r>
        <w:rPr>
          <w:rFonts w:ascii="Times New Roman" w:hAnsi="Times New Roman"/>
          <w:sz w:val="28"/>
          <w:szCs w:val="28"/>
        </w:rPr>
        <w:t>зазначених</w:t>
      </w:r>
      <w:r w:rsidRPr="001D54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главі</w:t>
      </w:r>
      <w:r w:rsidRPr="001D54EE">
        <w:rPr>
          <w:rFonts w:ascii="Times New Roman" w:hAnsi="Times New Roman"/>
          <w:sz w:val="28"/>
          <w:szCs w:val="28"/>
        </w:rPr>
        <w:t xml:space="preserve"> 33 розділу ІІ цього Порядку; </w:t>
      </w:r>
      <w:r>
        <w:rPr>
          <w:rFonts w:ascii="Times New Roman" w:hAnsi="Times New Roman"/>
          <w:sz w:val="28"/>
          <w:szCs w:val="28"/>
        </w:rPr>
        <w:t>”;</w:t>
      </w:r>
    </w:p>
    <w:p w:rsidR="00450B5B" w:rsidRDefault="00450B5B" w:rsidP="000B2603">
      <w:pPr>
        <w:pStyle w:val="a5"/>
        <w:spacing w:before="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абзаці дванадцятому слова і цифри “</w:t>
      </w:r>
      <w:r w:rsidRPr="004C1D92">
        <w:rPr>
          <w:rFonts w:ascii="Times New Roman" w:hAnsi="Times New Roman"/>
          <w:sz w:val="28"/>
          <w:szCs w:val="28"/>
        </w:rPr>
        <w:t>зазначених у главах 10</w:t>
      </w:r>
      <w:r w:rsidRPr="000B2603">
        <w:rPr>
          <w:rFonts w:ascii="Times New Roman" w:hAnsi="Times New Roman"/>
          <w:sz w:val="28"/>
          <w:szCs w:val="28"/>
        </w:rPr>
        <w:t>—</w:t>
      </w:r>
      <w:r w:rsidRPr="004C1D92">
        <w:rPr>
          <w:rFonts w:ascii="Times New Roman" w:hAnsi="Times New Roman"/>
          <w:sz w:val="28"/>
          <w:szCs w:val="28"/>
        </w:rPr>
        <w:t>21 або 23</w:t>
      </w:r>
      <w:r w:rsidRPr="000B2603">
        <w:rPr>
          <w:rFonts w:ascii="Times New Roman" w:hAnsi="Times New Roman"/>
          <w:sz w:val="28"/>
          <w:szCs w:val="28"/>
        </w:rPr>
        <w:t>—</w:t>
      </w:r>
      <w:r w:rsidRPr="004C1D92">
        <w:rPr>
          <w:rFonts w:ascii="Times New Roman" w:hAnsi="Times New Roman"/>
          <w:sz w:val="28"/>
          <w:szCs w:val="28"/>
        </w:rPr>
        <w:t>24, або 26</w:t>
      </w:r>
      <w:r w:rsidRPr="000B2603">
        <w:rPr>
          <w:rFonts w:ascii="Times New Roman" w:hAnsi="Times New Roman"/>
          <w:sz w:val="28"/>
          <w:szCs w:val="28"/>
        </w:rPr>
        <w:t>—</w:t>
      </w:r>
      <w:r w:rsidRPr="004C1D92">
        <w:rPr>
          <w:rFonts w:ascii="Times New Roman" w:hAnsi="Times New Roman"/>
          <w:sz w:val="28"/>
          <w:szCs w:val="28"/>
        </w:rPr>
        <w:t>27, аб</w:t>
      </w:r>
      <w:r>
        <w:rPr>
          <w:rFonts w:ascii="Times New Roman" w:hAnsi="Times New Roman"/>
          <w:sz w:val="28"/>
          <w:szCs w:val="28"/>
        </w:rPr>
        <w:t>о 29</w:t>
      </w:r>
      <w:r w:rsidRPr="000B2603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>32” замінити словами і цифрами “</w:t>
      </w:r>
      <w:r w:rsidRPr="004C1D92">
        <w:rPr>
          <w:rFonts w:ascii="Times New Roman" w:hAnsi="Times New Roman"/>
          <w:sz w:val="28"/>
          <w:szCs w:val="28"/>
        </w:rPr>
        <w:t>зазначених у главах 4</w:t>
      </w:r>
      <w:r w:rsidRPr="000B2603">
        <w:rPr>
          <w:rFonts w:ascii="Times New Roman" w:hAnsi="Times New Roman"/>
          <w:sz w:val="28"/>
          <w:szCs w:val="28"/>
        </w:rPr>
        <w:t>—</w:t>
      </w:r>
      <w:r w:rsidRPr="004C1D92">
        <w:rPr>
          <w:rFonts w:ascii="Times New Roman" w:hAnsi="Times New Roman"/>
          <w:sz w:val="28"/>
          <w:szCs w:val="28"/>
        </w:rPr>
        <w:t>7 або 19</w:t>
      </w:r>
      <w:r w:rsidRPr="000B2603">
        <w:rPr>
          <w:rFonts w:ascii="Times New Roman" w:hAnsi="Times New Roman"/>
          <w:sz w:val="28"/>
          <w:szCs w:val="28"/>
        </w:rPr>
        <w:t>—</w:t>
      </w:r>
      <w:r w:rsidRPr="004C1D92">
        <w:rPr>
          <w:rFonts w:ascii="Times New Roman" w:hAnsi="Times New Roman"/>
          <w:sz w:val="28"/>
          <w:szCs w:val="28"/>
        </w:rPr>
        <w:t>22, або 24, або 28, або 30</w:t>
      </w:r>
      <w:r w:rsidRPr="000B2603">
        <w:rPr>
          <w:rFonts w:ascii="Times New Roman" w:hAnsi="Times New Roman"/>
          <w:sz w:val="28"/>
          <w:szCs w:val="28"/>
        </w:rPr>
        <w:t>—</w:t>
      </w:r>
      <w:r w:rsidRPr="004C1D92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>”;</w:t>
      </w:r>
    </w:p>
    <w:p w:rsidR="00450B5B" w:rsidRPr="007C2E6A" w:rsidRDefault="00450B5B" w:rsidP="000B2603">
      <w:pPr>
        <w:pStyle w:val="a5"/>
        <w:spacing w:before="0" w:after="120"/>
        <w:jc w:val="both"/>
        <w:rPr>
          <w:rFonts w:ascii="Times New Roman" w:hAnsi="Times New Roman"/>
          <w:sz w:val="28"/>
          <w:szCs w:val="28"/>
        </w:rPr>
      </w:pPr>
      <w:r w:rsidRPr="007C2E6A">
        <w:rPr>
          <w:rFonts w:ascii="Times New Roman" w:hAnsi="Times New Roman"/>
          <w:sz w:val="28"/>
          <w:szCs w:val="28"/>
        </w:rPr>
        <w:t xml:space="preserve">3) доповнити </w:t>
      </w:r>
      <w:r>
        <w:rPr>
          <w:rFonts w:ascii="Times New Roman" w:hAnsi="Times New Roman"/>
          <w:sz w:val="28"/>
          <w:szCs w:val="28"/>
        </w:rPr>
        <w:t xml:space="preserve">пункт </w:t>
      </w:r>
      <w:r w:rsidRPr="007C2E6A">
        <w:rPr>
          <w:rFonts w:ascii="Times New Roman" w:hAnsi="Times New Roman"/>
          <w:sz w:val="28"/>
          <w:szCs w:val="28"/>
        </w:rPr>
        <w:t>абзацом такого змісту:</w:t>
      </w:r>
    </w:p>
    <w:p w:rsidR="00450B5B" w:rsidRDefault="00450B5B" w:rsidP="000B2603">
      <w:pPr>
        <w:pStyle w:val="a5"/>
        <w:spacing w:before="0" w:after="120"/>
        <w:jc w:val="both"/>
        <w:rPr>
          <w:rFonts w:ascii="Times New Roman" w:hAnsi="Times New Roman"/>
          <w:sz w:val="28"/>
          <w:szCs w:val="28"/>
        </w:rPr>
      </w:pPr>
      <w:r w:rsidRPr="00C00F4A">
        <w:rPr>
          <w:rFonts w:ascii="Times New Roman" w:hAnsi="Times New Roman"/>
          <w:sz w:val="28"/>
          <w:szCs w:val="28"/>
        </w:rPr>
        <w:t>“</w:t>
      </w:r>
      <w:r w:rsidRPr="007C2E6A">
        <w:rPr>
          <w:rFonts w:ascii="Times New Roman" w:hAnsi="Times New Roman"/>
          <w:sz w:val="28"/>
          <w:szCs w:val="28"/>
        </w:rPr>
        <w:t>НСЗУ може укладати договори із закладами охорони здоров’я, визначеними тимчасово для надання медичної допомоги пацієнтам з</w:t>
      </w:r>
      <w:r>
        <w:rPr>
          <w:rFonts w:ascii="Times New Roman" w:hAnsi="Times New Roman"/>
          <w:sz w:val="28"/>
          <w:szCs w:val="28"/>
        </w:rPr>
        <w:t xml:space="preserve"> підтвердженим та підозрілим випадком</w:t>
      </w:r>
      <w:r w:rsidRPr="007C2E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гострої респіраторної хвороби COVID-19, спричиненої коронавірусом SARS-CoV-2, </w:t>
      </w:r>
      <w:r w:rsidRPr="007C2E6A">
        <w:rPr>
          <w:rFonts w:ascii="Times New Roman" w:hAnsi="Times New Roman"/>
          <w:sz w:val="28"/>
          <w:szCs w:val="28"/>
        </w:rPr>
        <w:t xml:space="preserve">до яких одночасно входять пакет медичних послуг, </w:t>
      </w:r>
      <w:r>
        <w:rPr>
          <w:rFonts w:ascii="Times New Roman" w:hAnsi="Times New Roman"/>
          <w:sz w:val="28"/>
          <w:szCs w:val="28"/>
        </w:rPr>
        <w:t>визначений у главі</w:t>
      </w:r>
      <w:r w:rsidRPr="007C2E6A">
        <w:rPr>
          <w:rFonts w:ascii="Times New Roman" w:hAnsi="Times New Roman"/>
          <w:sz w:val="28"/>
          <w:szCs w:val="28"/>
        </w:rPr>
        <w:t xml:space="preserve"> 33 цього Порядку, та пакет медичних послуг “Стаціонарна допомога дорослим та дітям без проведення хірургічних операцій”, </w:t>
      </w:r>
      <w:r>
        <w:rPr>
          <w:rFonts w:ascii="Times New Roman" w:hAnsi="Times New Roman"/>
          <w:sz w:val="28"/>
          <w:szCs w:val="28"/>
        </w:rPr>
        <w:t>визначений у главі</w:t>
      </w:r>
      <w:r w:rsidRPr="007C2E6A">
        <w:rPr>
          <w:rFonts w:ascii="Times New Roman" w:hAnsi="Times New Roman"/>
          <w:sz w:val="28"/>
          <w:szCs w:val="28"/>
        </w:rPr>
        <w:t xml:space="preserve"> 3 цього Порядку</w:t>
      </w:r>
      <w:r w:rsidRPr="009F48F8">
        <w:rPr>
          <w:rFonts w:ascii="Times New Roman" w:hAnsi="Times New Roman"/>
          <w:sz w:val="28"/>
          <w:szCs w:val="28"/>
        </w:rPr>
        <w:t>.</w:t>
      </w:r>
      <w:r w:rsidRPr="0060786B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</w:rPr>
        <w:t>.</w:t>
      </w:r>
    </w:p>
    <w:p w:rsidR="00450B5B" w:rsidRDefault="00450B5B" w:rsidP="000B2603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Абзац шостий пункту 31 викласти в такій редакції:</w:t>
      </w:r>
    </w:p>
    <w:p w:rsidR="00450B5B" w:rsidRDefault="00450B5B" w:rsidP="000B2603">
      <w:pPr>
        <w:pStyle w:val="a5"/>
        <w:spacing w:before="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 w:rsidRPr="00B5346B">
        <w:rPr>
          <w:rFonts w:ascii="Times New Roman" w:hAnsi="Times New Roman"/>
          <w:sz w:val="28"/>
          <w:szCs w:val="28"/>
        </w:rPr>
        <w:t xml:space="preserve">за пакетом медичних послуг “Стаціонарна допомога дорослим та дітям без проведення хірургічних операцій” як добуток базової ставки на пролікований випадок, яка становить 4896,79 гривні, та запланованої кількості медичних послуг згідно з даними, що містяться в пропозиції надавача медичних послуг, але не більше ніж 1/12 загальної кількості наданих медичних послуг згідно з таблицею </w:t>
      </w:r>
      <w:r>
        <w:rPr>
          <w:rFonts w:ascii="Times New Roman" w:hAnsi="Times New Roman"/>
          <w:sz w:val="28"/>
          <w:szCs w:val="28"/>
        </w:rPr>
        <w:t>3220 звіту за 2019 рік (за 2020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B5346B">
        <w:rPr>
          <w:rFonts w:ascii="Times New Roman" w:hAnsi="Times New Roman"/>
          <w:sz w:val="28"/>
          <w:szCs w:val="28"/>
        </w:rPr>
        <w:t xml:space="preserve">рік </w:t>
      </w:r>
      <w:r w:rsidRPr="000B2603">
        <w:rPr>
          <w:rFonts w:ascii="Times New Roman" w:hAnsi="Times New Roman"/>
          <w:sz w:val="28"/>
          <w:szCs w:val="28"/>
          <w:lang w:val="ru-RU"/>
        </w:rPr>
        <w:t>—</w:t>
      </w:r>
      <w:r w:rsidRPr="00B5346B">
        <w:rPr>
          <w:rFonts w:ascii="Times New Roman" w:hAnsi="Times New Roman"/>
          <w:sz w:val="28"/>
          <w:szCs w:val="28"/>
        </w:rPr>
        <w:t xml:space="preserve"> для надавачів медичних послуг, які не провадили діяльність у 2019 році) за формою звітності № 20, затвердженою МОЗ, до якої не включається запланована місячна кількість медичних послуг, віднесених до пакетів медичних послуг, визначених в главах 4</w:t>
      </w:r>
      <w:r w:rsidRPr="000B2603">
        <w:rPr>
          <w:rFonts w:ascii="Times New Roman" w:hAnsi="Times New Roman"/>
          <w:sz w:val="28"/>
          <w:szCs w:val="28"/>
          <w:lang w:val="ru-RU"/>
        </w:rPr>
        <w:t>—</w:t>
      </w:r>
      <w:r w:rsidRPr="00B5346B">
        <w:rPr>
          <w:rFonts w:ascii="Times New Roman" w:hAnsi="Times New Roman"/>
          <w:sz w:val="28"/>
          <w:szCs w:val="28"/>
        </w:rPr>
        <w:t>7, 22 роз</w:t>
      </w:r>
      <w:r>
        <w:rPr>
          <w:rFonts w:ascii="Times New Roman" w:hAnsi="Times New Roman"/>
          <w:sz w:val="28"/>
          <w:szCs w:val="28"/>
        </w:rPr>
        <w:t>ділу ІІ цього Порядку, до пакета</w:t>
      </w:r>
      <w:r w:rsidRPr="00B5346B">
        <w:rPr>
          <w:rFonts w:ascii="Times New Roman" w:hAnsi="Times New Roman"/>
          <w:sz w:val="28"/>
          <w:szCs w:val="28"/>
        </w:rPr>
        <w:t xml:space="preserve"> медичних послуг “Хірургічні операції дорослим та дітям у стаціонарних умовах”, а також 1/12 запланованої кількості медичних послуг, віднесених до пакетів медичних послуг, визначених у главах 19</w:t>
      </w:r>
      <w:r w:rsidRPr="000B2603">
        <w:rPr>
          <w:rFonts w:ascii="Times New Roman" w:hAnsi="Times New Roman"/>
          <w:sz w:val="28"/>
          <w:szCs w:val="28"/>
          <w:lang w:val="ru-RU"/>
        </w:rPr>
        <w:t>—</w:t>
      </w:r>
      <w:r w:rsidRPr="00B5346B">
        <w:rPr>
          <w:rFonts w:ascii="Times New Roman" w:hAnsi="Times New Roman"/>
          <w:sz w:val="28"/>
          <w:szCs w:val="28"/>
        </w:rPr>
        <w:t>21, 24 розділу II цього Порядку.”.</w:t>
      </w:r>
    </w:p>
    <w:p w:rsidR="00450B5B" w:rsidRPr="00AB2394" w:rsidRDefault="00450B5B" w:rsidP="000B2603">
      <w:pPr>
        <w:pStyle w:val="a5"/>
        <w:spacing w:before="0" w:after="120"/>
        <w:jc w:val="both"/>
        <w:rPr>
          <w:rFonts w:ascii="Times New Roman" w:hAnsi="Times New Roman"/>
          <w:sz w:val="28"/>
          <w:szCs w:val="28"/>
        </w:rPr>
      </w:pPr>
      <w:r w:rsidRPr="00AB2394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П</w:t>
      </w:r>
      <w:r w:rsidRPr="00AB2394">
        <w:rPr>
          <w:rFonts w:ascii="Times New Roman" w:hAnsi="Times New Roman"/>
          <w:sz w:val="28"/>
          <w:szCs w:val="28"/>
        </w:rPr>
        <w:t xml:space="preserve">ункт 126 </w:t>
      </w:r>
      <w:r>
        <w:rPr>
          <w:rFonts w:ascii="Times New Roman" w:hAnsi="Times New Roman"/>
          <w:sz w:val="28"/>
          <w:szCs w:val="28"/>
        </w:rPr>
        <w:t>д</w:t>
      </w:r>
      <w:r w:rsidRPr="00AB2394">
        <w:rPr>
          <w:rFonts w:ascii="Times New Roman" w:hAnsi="Times New Roman"/>
          <w:sz w:val="28"/>
          <w:szCs w:val="28"/>
        </w:rPr>
        <w:t>оповнити абзац</w:t>
      </w:r>
      <w:r>
        <w:rPr>
          <w:rFonts w:ascii="Times New Roman" w:hAnsi="Times New Roman"/>
          <w:sz w:val="28"/>
          <w:szCs w:val="28"/>
        </w:rPr>
        <w:t>ами</w:t>
      </w:r>
      <w:r w:rsidRPr="00AB2394">
        <w:rPr>
          <w:rFonts w:ascii="Times New Roman" w:hAnsi="Times New Roman"/>
          <w:sz w:val="28"/>
          <w:szCs w:val="28"/>
        </w:rPr>
        <w:t xml:space="preserve"> такого змісту:</w:t>
      </w:r>
    </w:p>
    <w:p w:rsidR="00450B5B" w:rsidRDefault="00450B5B" w:rsidP="000B2603">
      <w:pPr>
        <w:pStyle w:val="a5"/>
        <w:spacing w:before="0" w:after="120"/>
        <w:jc w:val="both"/>
        <w:rPr>
          <w:rFonts w:ascii="Times New Roman" w:hAnsi="Times New Roman"/>
          <w:sz w:val="28"/>
          <w:szCs w:val="28"/>
        </w:rPr>
      </w:pPr>
      <w:r w:rsidRPr="000B2603">
        <w:rPr>
          <w:rFonts w:ascii="Times New Roman" w:hAnsi="Times New Roman"/>
          <w:sz w:val="28"/>
          <w:szCs w:val="28"/>
          <w:lang w:val="ru-RU"/>
        </w:rPr>
        <w:t>“</w:t>
      </w:r>
      <w:r w:rsidRPr="00AB2394">
        <w:rPr>
          <w:rFonts w:ascii="Times New Roman" w:hAnsi="Times New Roman"/>
          <w:sz w:val="28"/>
          <w:szCs w:val="28"/>
        </w:rPr>
        <w:t xml:space="preserve">Дія абзацу шостого цього пункту не поширюється на заклади охорони </w:t>
      </w:r>
      <w:proofErr w:type="spellStart"/>
      <w:r w:rsidRPr="00AB2394">
        <w:rPr>
          <w:rFonts w:ascii="Times New Roman" w:hAnsi="Times New Roman"/>
          <w:sz w:val="28"/>
          <w:szCs w:val="28"/>
        </w:rPr>
        <w:t>здоровʼя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450B5B" w:rsidRDefault="00450B5B" w:rsidP="000B2603">
      <w:pPr>
        <w:pStyle w:val="a5"/>
        <w:spacing w:before="0" w:after="120"/>
        <w:jc w:val="both"/>
        <w:rPr>
          <w:rFonts w:ascii="Times New Roman" w:hAnsi="Times New Roman"/>
          <w:sz w:val="28"/>
          <w:szCs w:val="28"/>
        </w:rPr>
      </w:pPr>
      <w:r w:rsidRPr="00AB2394">
        <w:rPr>
          <w:rFonts w:ascii="Times New Roman" w:hAnsi="Times New Roman"/>
          <w:sz w:val="28"/>
          <w:szCs w:val="28"/>
        </w:rPr>
        <w:t xml:space="preserve">розташовані на території адміністративно-територіальної одиниці, на території якої за рішенням Державної комісії з питань техногенно-екологічної безпеки та надзвичайних ситуацій встановлено </w:t>
      </w:r>
      <w:r w:rsidRPr="000B2603">
        <w:rPr>
          <w:rFonts w:ascii="Times New Roman" w:hAnsi="Times New Roman"/>
          <w:sz w:val="28"/>
          <w:szCs w:val="28"/>
        </w:rPr>
        <w:t>“</w:t>
      </w:r>
      <w:r w:rsidRPr="00AB2394">
        <w:rPr>
          <w:rFonts w:ascii="Times New Roman" w:hAnsi="Times New Roman"/>
          <w:sz w:val="28"/>
          <w:szCs w:val="28"/>
        </w:rPr>
        <w:t>червоний</w:t>
      </w:r>
      <w:r w:rsidRPr="000B2603">
        <w:rPr>
          <w:rFonts w:ascii="Times New Roman" w:hAnsi="Times New Roman"/>
          <w:sz w:val="28"/>
          <w:szCs w:val="28"/>
        </w:rPr>
        <w:t>”</w:t>
      </w:r>
      <w:r w:rsidRPr="00AB2394">
        <w:rPr>
          <w:rFonts w:ascii="Times New Roman" w:hAnsi="Times New Roman"/>
          <w:sz w:val="28"/>
          <w:szCs w:val="28"/>
        </w:rPr>
        <w:t xml:space="preserve"> рівень епідемічної небезпеки  поширення гострої респіраторної хвороби COVID-19, спричиненої коронавірусом SARS-CoV-2, протягом періоду дії зазначеного рівня небезпеки та 30 </w:t>
      </w:r>
      <w:r>
        <w:rPr>
          <w:rFonts w:ascii="Times New Roman" w:hAnsi="Times New Roman"/>
          <w:sz w:val="28"/>
          <w:szCs w:val="28"/>
        </w:rPr>
        <w:t xml:space="preserve">календарних </w:t>
      </w:r>
      <w:r w:rsidRPr="00AB2394">
        <w:rPr>
          <w:rFonts w:ascii="Times New Roman" w:hAnsi="Times New Roman"/>
          <w:sz w:val="28"/>
          <w:szCs w:val="28"/>
        </w:rPr>
        <w:t>днів з дати набрання чинності рішенням Державної комісії з питань техногенно-екологічної безпеки та надзвичайних ситуацій про його скасування</w:t>
      </w:r>
      <w:r>
        <w:rPr>
          <w:rFonts w:ascii="Times New Roman" w:hAnsi="Times New Roman"/>
          <w:sz w:val="28"/>
          <w:szCs w:val="28"/>
        </w:rPr>
        <w:t>;</w:t>
      </w:r>
    </w:p>
    <w:p w:rsidR="00450B5B" w:rsidRPr="009E12D7" w:rsidRDefault="00450B5B" w:rsidP="000B2603">
      <w:pPr>
        <w:pStyle w:val="a5"/>
        <w:spacing w:before="0" w:after="120"/>
        <w:jc w:val="both"/>
        <w:rPr>
          <w:rFonts w:ascii="Times New Roman" w:hAnsi="Times New Roman"/>
          <w:sz w:val="28"/>
          <w:szCs w:val="28"/>
        </w:rPr>
      </w:pPr>
      <w:r w:rsidRPr="00F47469">
        <w:rPr>
          <w:rFonts w:ascii="Times New Roman" w:hAnsi="Times New Roman"/>
          <w:sz w:val="28"/>
          <w:szCs w:val="28"/>
        </w:rPr>
        <w:t xml:space="preserve">визначені тимчасово для надання медичної допомоги </w:t>
      </w:r>
      <w:r w:rsidRPr="007C2E6A">
        <w:rPr>
          <w:rFonts w:ascii="Times New Roman" w:hAnsi="Times New Roman"/>
          <w:sz w:val="28"/>
          <w:szCs w:val="28"/>
        </w:rPr>
        <w:t>пацієнтам з</w:t>
      </w:r>
      <w:r>
        <w:rPr>
          <w:rFonts w:ascii="Times New Roman" w:hAnsi="Times New Roman"/>
          <w:sz w:val="28"/>
          <w:szCs w:val="28"/>
        </w:rPr>
        <w:t xml:space="preserve"> підтвердженим та підозрілим випадком</w:t>
      </w:r>
      <w:r w:rsidRPr="007C2E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гострої респіраторної хвороби </w:t>
      </w:r>
      <w:r>
        <w:rPr>
          <w:rFonts w:ascii="Times New Roman" w:hAnsi="Times New Roman"/>
          <w:sz w:val="28"/>
          <w:szCs w:val="28"/>
        </w:rPr>
        <w:lastRenderedPageBreak/>
        <w:t>COVID-19, спричиненої коронавірусом SARS-CoV-2</w:t>
      </w:r>
      <w:r w:rsidRPr="00F47469">
        <w:rPr>
          <w:rFonts w:ascii="Times New Roman" w:hAnsi="Times New Roman"/>
          <w:sz w:val="28"/>
          <w:szCs w:val="28"/>
        </w:rPr>
        <w:t xml:space="preserve">, </w:t>
      </w:r>
      <w:r w:rsidRPr="000B2603">
        <w:rPr>
          <w:rFonts w:ascii="Times New Roman" w:hAnsi="Times New Roman"/>
          <w:sz w:val="28"/>
          <w:szCs w:val="28"/>
          <w:lang w:val="ru-RU"/>
        </w:rPr>
        <w:t>—</w:t>
      </w:r>
      <w:r w:rsidRPr="00F47469">
        <w:rPr>
          <w:rFonts w:ascii="Times New Roman" w:hAnsi="Times New Roman"/>
          <w:sz w:val="28"/>
          <w:szCs w:val="28"/>
        </w:rPr>
        <w:t xml:space="preserve"> на період  надання такої допомоги, </w:t>
      </w:r>
      <w:r>
        <w:rPr>
          <w:rFonts w:ascii="Times New Roman" w:hAnsi="Times New Roman"/>
          <w:sz w:val="28"/>
          <w:szCs w:val="28"/>
        </w:rPr>
        <w:t>виключно під час надання</w:t>
      </w:r>
      <w:r w:rsidRPr="007C2E6A">
        <w:rPr>
          <w:rFonts w:ascii="Times New Roman" w:hAnsi="Times New Roman"/>
          <w:sz w:val="28"/>
          <w:szCs w:val="28"/>
        </w:rPr>
        <w:t xml:space="preserve"> за договором медичних послуг, включених до пакету медичних послуг “Стаціонарна допомога дорослим та дітям без проведення хірургічних операцій”, передбаченого главою 3 цього Порядку</w:t>
      </w:r>
      <w:r w:rsidRPr="007502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”</w:t>
      </w:r>
      <w:r w:rsidRPr="009E12D7">
        <w:rPr>
          <w:rFonts w:ascii="Times New Roman" w:hAnsi="Times New Roman"/>
          <w:sz w:val="28"/>
          <w:szCs w:val="28"/>
        </w:rPr>
        <w:t xml:space="preserve">. </w:t>
      </w:r>
    </w:p>
    <w:p w:rsidR="00450B5B" w:rsidRDefault="00450B5B" w:rsidP="000B2603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 таблиці пункту 138 позиції</w:t>
      </w:r>
    </w:p>
    <w:tbl>
      <w:tblPr>
        <w:tblW w:w="5000" w:type="pct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466"/>
        <w:gridCol w:w="3913"/>
      </w:tblGrid>
      <w:tr w:rsidR="00450B5B" w:rsidTr="0084487C">
        <w:trPr>
          <w:trHeight w:val="12"/>
        </w:trPr>
        <w:tc>
          <w:tcPr>
            <w:tcW w:w="5280" w:type="dxa"/>
            <w:shd w:val="clear" w:color="auto" w:fill="FFFFFF"/>
            <w:hideMark/>
          </w:tcPr>
          <w:p w:rsidR="00450B5B" w:rsidRDefault="00450B5B" w:rsidP="000B2603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704782">
              <w:rPr>
                <w:sz w:val="28"/>
                <w:szCs w:val="28"/>
              </w:rPr>
              <w:t>“Фенобарбітал (</w:t>
            </w:r>
            <w:proofErr w:type="spellStart"/>
            <w:r w:rsidRPr="00704782">
              <w:rPr>
                <w:sz w:val="28"/>
                <w:szCs w:val="28"/>
              </w:rPr>
              <w:t>Phenobarbital</w:t>
            </w:r>
            <w:proofErr w:type="spellEnd"/>
            <w:r w:rsidRPr="00704782">
              <w:rPr>
                <w:sz w:val="28"/>
                <w:szCs w:val="28"/>
              </w:rPr>
              <w:t>)</w:t>
            </w:r>
          </w:p>
          <w:p w:rsidR="00450B5B" w:rsidRDefault="00450B5B" w:rsidP="000B2603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0B5B" w:rsidRPr="00704782" w:rsidRDefault="00450B5B" w:rsidP="000B2603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shd w:val="clear" w:color="auto" w:fill="FFFFFF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3403"/>
              <w:gridCol w:w="2039"/>
            </w:tblGrid>
            <w:tr w:rsidR="00450B5B" w:rsidRPr="00704782" w:rsidTr="0084487C">
              <w:trPr>
                <w:trHeight w:val="12"/>
              </w:trPr>
              <w:tc>
                <w:tcPr>
                  <w:tcW w:w="32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50B5B" w:rsidRPr="00704782" w:rsidRDefault="00450B5B" w:rsidP="000B2603">
                  <w:pPr>
                    <w:pStyle w:val="rvps14"/>
                    <w:spacing w:before="0" w:beforeAutospacing="0" w:after="120" w:afterAutospacing="0"/>
                    <w:rPr>
                      <w:sz w:val="28"/>
                      <w:szCs w:val="28"/>
                    </w:rPr>
                  </w:pPr>
                  <w:proofErr w:type="spellStart"/>
                  <w:r w:rsidRPr="00704782">
                    <w:rPr>
                      <w:sz w:val="28"/>
                      <w:szCs w:val="28"/>
                    </w:rPr>
                    <w:t>Фенітоїн</w:t>
                  </w:r>
                  <w:proofErr w:type="spellEnd"/>
                  <w:r w:rsidRPr="00704782">
                    <w:rPr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704782">
                    <w:rPr>
                      <w:sz w:val="28"/>
                      <w:szCs w:val="28"/>
                    </w:rPr>
                    <w:t>Phenytoin</w:t>
                  </w:r>
                  <w:proofErr w:type="spellEnd"/>
                  <w:r w:rsidRPr="00704782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50B5B" w:rsidRPr="00704782" w:rsidRDefault="00450B5B" w:rsidP="000B2603">
                  <w:pPr>
                    <w:pStyle w:val="rvps12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50B5B" w:rsidRPr="00704782" w:rsidRDefault="00450B5B" w:rsidP="000B2603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FFFFFF"/>
            <w:hideMark/>
          </w:tcPr>
          <w:p w:rsidR="00450B5B" w:rsidRDefault="00450B5B" w:rsidP="000B2603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704782">
              <w:rPr>
                <w:sz w:val="28"/>
                <w:szCs w:val="28"/>
              </w:rPr>
              <w:t>таблетки, розчин для перорального застосування</w:t>
            </w:r>
          </w:p>
          <w:p w:rsidR="00450B5B" w:rsidRPr="00704782" w:rsidRDefault="00450B5B" w:rsidP="000B2603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50B5B" w:rsidRPr="00704782" w:rsidRDefault="00450B5B" w:rsidP="000B2603">
            <w:pPr>
              <w:pStyle w:val="rvps1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10B16">
              <w:rPr>
                <w:sz w:val="28"/>
                <w:szCs w:val="28"/>
              </w:rPr>
              <w:t>—“—</w:t>
            </w:r>
            <w:r>
              <w:rPr>
                <w:sz w:val="28"/>
                <w:szCs w:val="28"/>
              </w:rPr>
              <w:t xml:space="preserve">  ”</w:t>
            </w:r>
          </w:p>
        </w:tc>
      </w:tr>
    </w:tbl>
    <w:p w:rsidR="00450B5B" w:rsidRDefault="00450B5B" w:rsidP="000B2603">
      <w:pPr>
        <w:pStyle w:val="a5"/>
        <w:spacing w:before="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замінити такою позицією:</w:t>
      </w:r>
    </w:p>
    <w:tbl>
      <w:tblPr>
        <w:tblW w:w="5000" w:type="pct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466"/>
        <w:gridCol w:w="3913"/>
      </w:tblGrid>
      <w:tr w:rsidR="00450B5B" w:rsidTr="0084487C">
        <w:trPr>
          <w:trHeight w:val="12"/>
        </w:trPr>
        <w:tc>
          <w:tcPr>
            <w:tcW w:w="5280" w:type="dxa"/>
            <w:shd w:val="clear" w:color="auto" w:fill="FFFFFF"/>
            <w:hideMark/>
          </w:tcPr>
          <w:tbl>
            <w:tblPr>
              <w:tblW w:w="5000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shd w:val="clear" w:color="auto" w:fill="FFFFFF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5442"/>
            </w:tblGrid>
            <w:tr w:rsidR="00450B5B" w:rsidRPr="00704782" w:rsidTr="0084487C">
              <w:trPr>
                <w:trHeight w:val="12"/>
              </w:trPr>
              <w:tc>
                <w:tcPr>
                  <w:tcW w:w="5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50B5B" w:rsidRPr="00704782" w:rsidRDefault="00450B5B" w:rsidP="000B2603">
                  <w:pPr>
                    <w:pStyle w:val="rvps14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704782">
                    <w:rPr>
                      <w:sz w:val="28"/>
                      <w:szCs w:val="28"/>
                    </w:rPr>
                    <w:t>“</w:t>
                  </w:r>
                  <w:proofErr w:type="spellStart"/>
                  <w:r w:rsidRPr="00704782">
                    <w:rPr>
                      <w:sz w:val="28"/>
                      <w:szCs w:val="28"/>
                    </w:rPr>
                    <w:t>Фенітоїн</w:t>
                  </w:r>
                  <w:proofErr w:type="spellEnd"/>
                  <w:r w:rsidRPr="00704782">
                    <w:rPr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704782">
                    <w:rPr>
                      <w:sz w:val="28"/>
                      <w:szCs w:val="28"/>
                    </w:rPr>
                    <w:t>Phenytoin</w:t>
                  </w:r>
                  <w:proofErr w:type="spellEnd"/>
                  <w:r w:rsidRPr="00704782">
                    <w:rPr>
                      <w:sz w:val="28"/>
                      <w:szCs w:val="28"/>
                    </w:rPr>
                    <w:t>)</w:t>
                  </w:r>
                </w:p>
              </w:tc>
            </w:tr>
          </w:tbl>
          <w:p w:rsidR="00450B5B" w:rsidRPr="000B2603" w:rsidRDefault="00450B5B" w:rsidP="000B2603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  <w:tbl>
            <w:tblPr>
              <w:tblW w:w="1874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shd w:val="clear" w:color="auto" w:fill="FFFFFF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2040"/>
            </w:tblGrid>
            <w:tr w:rsidR="00450B5B" w:rsidRPr="00704782" w:rsidTr="0084487C">
              <w:trPr>
                <w:trHeight w:val="12"/>
              </w:trPr>
              <w:tc>
                <w:tcPr>
                  <w:tcW w:w="1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450B5B" w:rsidRPr="00704782" w:rsidRDefault="00450B5B" w:rsidP="000B2603">
                  <w:pPr>
                    <w:pStyle w:val="rvps12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50B5B" w:rsidRPr="00704782" w:rsidRDefault="00450B5B" w:rsidP="000B2603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FFFFFF"/>
            <w:hideMark/>
          </w:tcPr>
          <w:p w:rsidR="00450B5B" w:rsidRPr="00704782" w:rsidRDefault="00450B5B" w:rsidP="000B2603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704782">
              <w:rPr>
                <w:sz w:val="28"/>
                <w:szCs w:val="28"/>
              </w:rPr>
              <w:t>таблетки, розчин для перорального застосування</w:t>
            </w:r>
            <w:r>
              <w:rPr>
                <w:sz w:val="28"/>
                <w:szCs w:val="28"/>
              </w:rPr>
              <w:t>”.</w:t>
            </w:r>
          </w:p>
        </w:tc>
      </w:tr>
    </w:tbl>
    <w:p w:rsidR="00450B5B" w:rsidRPr="00813211" w:rsidRDefault="00450B5B" w:rsidP="00DC64C3">
      <w:pPr>
        <w:pStyle w:val="3"/>
        <w:spacing w:before="480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813211">
        <w:rPr>
          <w:rFonts w:ascii="Times New Roman" w:hAnsi="Times New Roman"/>
          <w:b w:val="0"/>
          <w:i w:val="0"/>
          <w:sz w:val="28"/>
          <w:szCs w:val="28"/>
        </w:rPr>
        <w:t>_____________________</w:t>
      </w:r>
    </w:p>
    <w:p w:rsidR="00450B5B" w:rsidRPr="000A550A" w:rsidRDefault="00450B5B">
      <w:bookmarkStart w:id="0" w:name="_GoBack"/>
      <w:bookmarkEnd w:id="0"/>
    </w:p>
    <w:sectPr w:rsidR="00450B5B" w:rsidRPr="000A5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50A"/>
    <w:rsid w:val="000A550A"/>
    <w:rsid w:val="00450B5B"/>
    <w:rsid w:val="009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50B5B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550A"/>
    <w:rPr>
      <w:b/>
      <w:bCs/>
    </w:rPr>
  </w:style>
  <w:style w:type="paragraph" w:styleId="a4">
    <w:name w:val="Normal (Web)"/>
    <w:basedOn w:val="a"/>
    <w:uiPriority w:val="99"/>
    <w:semiHidden/>
    <w:unhideWhenUsed/>
    <w:rsid w:val="000A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50B5B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paragraph" w:customStyle="1" w:styleId="a5">
    <w:name w:val="Нормальний текст"/>
    <w:basedOn w:val="a"/>
    <w:rsid w:val="00450B5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450B5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450B5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rvps14">
    <w:name w:val="rvps14"/>
    <w:basedOn w:val="a"/>
    <w:rsid w:val="00450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450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50B5B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550A"/>
    <w:rPr>
      <w:b/>
      <w:bCs/>
    </w:rPr>
  </w:style>
  <w:style w:type="paragraph" w:styleId="a4">
    <w:name w:val="Normal (Web)"/>
    <w:basedOn w:val="a"/>
    <w:uiPriority w:val="99"/>
    <w:semiHidden/>
    <w:unhideWhenUsed/>
    <w:rsid w:val="000A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50B5B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paragraph" w:customStyle="1" w:styleId="a5">
    <w:name w:val="Нормальний текст"/>
    <w:basedOn w:val="a"/>
    <w:rsid w:val="00450B5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450B5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450B5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rvps14">
    <w:name w:val="rvps14"/>
    <w:basedOn w:val="a"/>
    <w:rsid w:val="00450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450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3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4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07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759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78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15193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51464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70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8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780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5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3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7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74284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454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2021-05-11T07:50:00Z</dcterms:created>
  <dcterms:modified xsi:type="dcterms:W3CDTF">2021-05-11T07:52:00Z</dcterms:modified>
</cp:coreProperties>
</file>