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C7E" w:rsidRPr="00412C7E" w:rsidRDefault="00412C7E" w:rsidP="00412C7E">
      <w:pPr>
        <w:spacing w:before="150" w:after="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b/>
          <w:bCs/>
          <w:sz w:val="28"/>
          <w:szCs w:val="28"/>
          <w:lang w:eastAsia="ru-RU"/>
        </w:rPr>
        <w:t>МІНІСТЕРСТВО ФІНАНСІВ УКРАЇНИ</w:t>
      </w:r>
    </w:p>
    <w:p w:rsidR="00412C7E" w:rsidRPr="00412C7E" w:rsidRDefault="00412C7E" w:rsidP="00412C7E">
      <w:pPr>
        <w:spacing w:before="300" w:after="15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b/>
          <w:bCs/>
          <w:sz w:val="32"/>
          <w:szCs w:val="32"/>
          <w:lang w:eastAsia="ru-RU"/>
        </w:rPr>
        <w:t>НАКАЗ</w:t>
      </w:r>
    </w:p>
    <w:p w:rsidR="00412C7E" w:rsidRPr="00412C7E" w:rsidRDefault="00412C7E" w:rsidP="00412C7E">
      <w:pPr>
        <w:spacing w:before="150" w:after="150" w:line="240" w:lineRule="auto"/>
        <w:ind w:left="450" w:right="450"/>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b/>
          <w:bCs/>
          <w:sz w:val="24"/>
          <w:szCs w:val="24"/>
          <w:lang w:eastAsia="ru-RU"/>
        </w:rPr>
        <w:t>15.09.2020  № 561</w:t>
      </w:r>
    </w:p>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0" w:name="n3"/>
      <w:bookmarkEnd w:id="0"/>
      <w:r w:rsidRPr="00412C7E">
        <w:rPr>
          <w:rFonts w:ascii="Times New Roman" w:eastAsia="Times New Roman" w:hAnsi="Times New Roman" w:cs="Times New Roman"/>
          <w:b/>
          <w:bCs/>
          <w:sz w:val="24"/>
          <w:szCs w:val="24"/>
          <w:lang w:eastAsia="ru-RU"/>
        </w:rPr>
        <w:br/>
      </w:r>
      <w:bookmarkStart w:id="1" w:name="_GoBack"/>
      <w:bookmarkEnd w:id="1"/>
    </w:p>
    <w:p w:rsidR="00412C7E" w:rsidRPr="00412C7E" w:rsidRDefault="00412C7E" w:rsidP="00412C7E">
      <w:pPr>
        <w:spacing w:before="150" w:after="150" w:line="240" w:lineRule="auto"/>
        <w:jc w:val="right"/>
        <w:rPr>
          <w:rFonts w:ascii="Times New Roman" w:eastAsia="Times New Roman" w:hAnsi="Times New Roman" w:cs="Times New Roman"/>
          <w:sz w:val="24"/>
          <w:szCs w:val="24"/>
          <w:lang w:eastAsia="ru-RU"/>
        </w:rPr>
      </w:pPr>
      <w:r w:rsidRPr="00412C7E">
        <w:rPr>
          <w:rFonts w:ascii="Times New Roman" w:eastAsia="Times New Roman" w:hAnsi="Times New Roman" w:cs="Times New Roman"/>
          <w:b/>
          <w:bCs/>
          <w:sz w:val="24"/>
          <w:szCs w:val="24"/>
          <w:lang w:eastAsia="ru-RU"/>
        </w:rPr>
        <w:t>Зареєстровано в Міністерстві</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4"/>
          <w:szCs w:val="24"/>
          <w:lang w:eastAsia="ru-RU"/>
        </w:rPr>
        <w:t>юстиції України</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4"/>
          <w:szCs w:val="24"/>
          <w:lang w:eastAsia="ru-RU"/>
        </w:rPr>
        <w:t>12 листопада 2020 р.</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4"/>
          <w:szCs w:val="24"/>
          <w:lang w:eastAsia="ru-RU"/>
        </w:rPr>
        <w:t>за № 1123/35406</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bookmarkStart w:id="2" w:name="n4"/>
      <w:bookmarkEnd w:id="2"/>
      <w:r w:rsidRPr="00412C7E">
        <w:rPr>
          <w:rFonts w:ascii="Times New Roman" w:eastAsia="Times New Roman" w:hAnsi="Times New Roman" w:cs="Times New Roman"/>
          <w:sz w:val="24"/>
          <w:szCs w:val="24"/>
          <w:lang w:eastAsia="ru-RU"/>
        </w:rPr>
        <w:t>Про затвердження Змін до Порядку надання документів великого платника податків в електронній формі при проведенні документальної перевірки</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Відповідно до пункту 85.2 статті 85 глави 8 розділу II Податкового кодексу України та Законів України «Про електронні документи та електронний документообіг», «Про електронні довірчі послуги», підпункту 5 пункту 4 Положення про Міністерство фінансів України, затвердженого постановою Кабінету Міністрів України від 20 серпня 2014 року № 375, НАКАЗУЮ:</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 Затвердити Зміни до Порядку надання документів великого платника податків в електронній формі при проведенні документальної перевірки, затвердженого наказом Міністерства фінансів України від 7 листопада 2011 року № 1393, зареєстрованого в Міністерстві юстиції України 16 січня 2012 року за № 44/20357, що додаються.</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 Департаменту податкової політики Міністерства фінансів України в установленому порядку забезпечити:</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подання цього наказу на державну реєстрацію до Міністерства юстиції України;</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оприлюднення цього наказу.</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 Наказ набирає чинності через дев’ять місяців з дня його офіційного опублікування.</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 Контроль за виконанням цього наказу залишаю за собою та покладаю на Голову Державної податкової служби України Любченка О.М.</w:t>
      </w:r>
    </w:p>
    <w:tbl>
      <w:tblPr>
        <w:tblW w:w="5000" w:type="pct"/>
        <w:tblCellMar>
          <w:left w:w="0" w:type="dxa"/>
          <w:right w:w="0" w:type="dxa"/>
        </w:tblCellMar>
        <w:tblLook w:val="04A0" w:firstRow="1" w:lastRow="0" w:firstColumn="1" w:lastColumn="0" w:noHBand="0" w:noVBand="1"/>
      </w:tblPr>
      <w:tblGrid>
        <w:gridCol w:w="3932"/>
        <w:gridCol w:w="1685"/>
        <w:gridCol w:w="3744"/>
      </w:tblGrid>
      <w:tr w:rsidR="00412C7E" w:rsidRPr="00412C7E" w:rsidTr="00412C7E">
        <w:tc>
          <w:tcPr>
            <w:tcW w:w="2100" w:type="pct"/>
            <w:tcBorders>
              <w:top w:val="single" w:sz="2" w:space="0" w:color="auto"/>
              <w:left w:val="single" w:sz="2" w:space="0" w:color="auto"/>
              <w:bottom w:val="single" w:sz="2" w:space="0" w:color="auto"/>
              <w:right w:val="single" w:sz="2" w:space="0" w:color="auto"/>
            </w:tcBorders>
            <w:hideMark/>
          </w:tcPr>
          <w:p w:rsidR="00412C7E" w:rsidRPr="00412C7E" w:rsidRDefault="00412C7E" w:rsidP="00412C7E">
            <w:pPr>
              <w:spacing w:before="300" w:after="150" w:line="240" w:lineRule="auto"/>
              <w:jc w:val="center"/>
              <w:rPr>
                <w:rFonts w:ascii="Times New Roman" w:eastAsia="Times New Roman" w:hAnsi="Times New Roman" w:cs="Times New Roman"/>
                <w:sz w:val="24"/>
                <w:szCs w:val="24"/>
                <w:lang w:eastAsia="ru-RU"/>
              </w:rPr>
            </w:pPr>
            <w:bookmarkStart w:id="3" w:name="n12"/>
            <w:bookmarkEnd w:id="3"/>
            <w:r w:rsidRPr="00412C7E">
              <w:rPr>
                <w:rFonts w:ascii="Times New Roman" w:eastAsia="Times New Roman" w:hAnsi="Times New Roman" w:cs="Times New Roman"/>
                <w:b/>
                <w:bCs/>
                <w:sz w:val="24"/>
                <w:szCs w:val="24"/>
                <w:lang w:eastAsia="ru-RU"/>
              </w:rPr>
              <w:t>Міністр</w:t>
            </w:r>
          </w:p>
        </w:tc>
        <w:tc>
          <w:tcPr>
            <w:tcW w:w="3500" w:type="pct"/>
            <w:gridSpan w:val="2"/>
            <w:tcBorders>
              <w:top w:val="single" w:sz="2" w:space="0" w:color="auto"/>
              <w:left w:val="single" w:sz="2" w:space="0" w:color="auto"/>
              <w:bottom w:val="single" w:sz="2" w:space="0" w:color="auto"/>
              <w:right w:val="single" w:sz="2" w:space="0" w:color="auto"/>
            </w:tcBorders>
            <w:hideMark/>
          </w:tcPr>
          <w:p w:rsidR="00412C7E" w:rsidRPr="00412C7E" w:rsidRDefault="00412C7E" w:rsidP="00412C7E">
            <w:pPr>
              <w:spacing w:before="300" w:after="0" w:line="240" w:lineRule="auto"/>
              <w:jc w:val="right"/>
              <w:rPr>
                <w:rFonts w:ascii="Times New Roman" w:eastAsia="Times New Roman" w:hAnsi="Times New Roman" w:cs="Times New Roman"/>
                <w:sz w:val="24"/>
                <w:szCs w:val="24"/>
                <w:lang w:eastAsia="ru-RU"/>
              </w:rPr>
            </w:pPr>
            <w:r w:rsidRPr="00412C7E">
              <w:rPr>
                <w:rFonts w:ascii="Times New Roman" w:eastAsia="Times New Roman" w:hAnsi="Times New Roman" w:cs="Times New Roman"/>
                <w:b/>
                <w:bCs/>
                <w:sz w:val="24"/>
                <w:szCs w:val="24"/>
                <w:lang w:eastAsia="ru-RU"/>
              </w:rPr>
              <w:t>С. Марченко</w:t>
            </w:r>
          </w:p>
        </w:tc>
      </w:tr>
      <w:tr w:rsidR="00412C7E" w:rsidRPr="00412C7E" w:rsidTr="00412C7E">
        <w:tc>
          <w:tcPr>
            <w:tcW w:w="3000" w:type="pct"/>
            <w:gridSpan w:val="2"/>
            <w:tcBorders>
              <w:top w:val="single" w:sz="2" w:space="0" w:color="auto"/>
              <w:left w:val="single" w:sz="2" w:space="0" w:color="auto"/>
              <w:bottom w:val="single" w:sz="2" w:space="0" w:color="auto"/>
              <w:right w:val="single" w:sz="2" w:space="0" w:color="auto"/>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4" w:name="n13"/>
            <w:bookmarkEnd w:id="4"/>
            <w:r w:rsidRPr="00412C7E">
              <w:rPr>
                <w:rFonts w:ascii="Times New Roman" w:eastAsia="Times New Roman" w:hAnsi="Times New Roman" w:cs="Times New Roman"/>
                <w:sz w:val="24"/>
                <w:szCs w:val="24"/>
                <w:lang w:eastAsia="ru-RU"/>
              </w:rPr>
              <w:t>ПОГОДЖЕНО:</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4"/>
                <w:szCs w:val="24"/>
                <w:lang w:eastAsia="ru-RU"/>
              </w:rPr>
              <w:br/>
              <w:t>Голова Державної служби спеціального</w:t>
            </w:r>
            <w:r w:rsidRPr="00412C7E">
              <w:rPr>
                <w:rFonts w:ascii="Times New Roman" w:eastAsia="Times New Roman" w:hAnsi="Times New Roman" w:cs="Times New Roman"/>
                <w:sz w:val="24"/>
                <w:szCs w:val="24"/>
                <w:lang w:eastAsia="ru-RU"/>
              </w:rPr>
              <w:br/>
              <w:t>зв’язку та захисту інформації України</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4"/>
                <w:szCs w:val="24"/>
                <w:lang w:eastAsia="ru-RU"/>
              </w:rPr>
              <w:br/>
              <w:t>Голова Державної податкової служби України</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4"/>
                <w:szCs w:val="24"/>
                <w:lang w:eastAsia="ru-RU"/>
              </w:rPr>
              <w:br/>
              <w:t>Заступник Міністра цифрової</w:t>
            </w:r>
            <w:r w:rsidRPr="00412C7E">
              <w:rPr>
                <w:rFonts w:ascii="Times New Roman" w:eastAsia="Times New Roman" w:hAnsi="Times New Roman" w:cs="Times New Roman"/>
                <w:sz w:val="24"/>
                <w:szCs w:val="24"/>
                <w:lang w:eastAsia="ru-RU"/>
              </w:rPr>
              <w:br/>
              <w:t>трансформації України</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4"/>
                <w:szCs w:val="24"/>
                <w:lang w:eastAsia="ru-RU"/>
              </w:rPr>
              <w:br/>
              <w:t>Т.в.о. Голови Державної регуляторної</w:t>
            </w:r>
            <w:r w:rsidRPr="00412C7E">
              <w:rPr>
                <w:rFonts w:ascii="Times New Roman" w:eastAsia="Times New Roman" w:hAnsi="Times New Roman" w:cs="Times New Roman"/>
                <w:sz w:val="24"/>
                <w:szCs w:val="24"/>
                <w:lang w:eastAsia="ru-RU"/>
              </w:rPr>
              <w:br/>
              <w:t>служби України</w:t>
            </w:r>
          </w:p>
        </w:tc>
        <w:tc>
          <w:tcPr>
            <w:tcW w:w="2000" w:type="pct"/>
            <w:tcBorders>
              <w:top w:val="single" w:sz="2" w:space="0" w:color="auto"/>
              <w:left w:val="single" w:sz="2" w:space="0" w:color="auto"/>
              <w:bottom w:val="single" w:sz="2" w:space="0" w:color="auto"/>
              <w:right w:val="single" w:sz="2" w:space="0" w:color="auto"/>
            </w:tcBorders>
            <w:hideMark/>
          </w:tcPr>
          <w:p w:rsidR="00412C7E" w:rsidRPr="00412C7E" w:rsidRDefault="00412C7E" w:rsidP="00412C7E">
            <w:pPr>
              <w:spacing w:before="150" w:after="150" w:line="240" w:lineRule="auto"/>
              <w:jc w:val="righ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4"/>
                <w:szCs w:val="24"/>
                <w:lang w:eastAsia="ru-RU"/>
              </w:rPr>
              <w:br/>
              <w:t>Ю. Щиголь</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4"/>
                <w:szCs w:val="24"/>
                <w:lang w:eastAsia="ru-RU"/>
              </w:rPr>
              <w:br/>
              <w:t>О. Любченко</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4"/>
                <w:szCs w:val="24"/>
                <w:lang w:eastAsia="ru-RU"/>
              </w:rPr>
              <w:br/>
              <w:t>О. Борняков</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4"/>
                <w:szCs w:val="24"/>
                <w:lang w:eastAsia="ru-RU"/>
              </w:rPr>
              <w:br/>
              <w:t>О. Мірошніченко</w:t>
            </w:r>
          </w:p>
        </w:tc>
      </w:tr>
    </w:tbl>
    <w:p w:rsidR="00412C7E" w:rsidRPr="00412C7E" w:rsidRDefault="00412C7E" w:rsidP="00412C7E">
      <w:pPr>
        <w:shd w:val="clear" w:color="auto" w:fill="FFFFE2"/>
        <w:spacing w:after="150" w:line="240" w:lineRule="auto"/>
        <w:jc w:val="both"/>
        <w:rPr>
          <w:rFonts w:ascii="Times New Roman" w:eastAsia="Times New Roman" w:hAnsi="Times New Roman" w:cs="Times New Roman"/>
          <w:vanish/>
          <w:sz w:val="24"/>
          <w:szCs w:val="24"/>
          <w:lang w:eastAsia="ru-RU"/>
        </w:rPr>
      </w:pPr>
      <w:bookmarkStart w:id="5" w:name="n142"/>
      <w:bookmarkStart w:id="6" w:name="n14"/>
      <w:bookmarkEnd w:id="5"/>
      <w:bookmarkEnd w:id="6"/>
    </w:p>
    <w:p w:rsidR="00412C7E" w:rsidRPr="00412C7E" w:rsidRDefault="00412C7E" w:rsidP="00412C7E">
      <w:pPr>
        <w:tabs>
          <w:tab w:val="left" w:pos="5614"/>
        </w:tabs>
        <w:spacing w:before="150" w:after="150" w:line="240" w:lineRule="auto"/>
        <w:ind w:left="-3"/>
        <w:jc w:val="right"/>
        <w:rPr>
          <w:rFonts w:ascii="Times New Roman" w:eastAsia="Times New Roman" w:hAnsi="Times New Roman" w:cs="Times New Roman"/>
          <w:sz w:val="24"/>
          <w:szCs w:val="24"/>
          <w:lang w:eastAsia="ru-RU"/>
        </w:rPr>
      </w:pPr>
      <w:r w:rsidRPr="00412C7E">
        <w:rPr>
          <w:rFonts w:ascii="Times New Roman" w:eastAsia="Times New Roman" w:hAnsi="Times New Roman" w:cs="Times New Roman"/>
          <w:b/>
          <w:bCs/>
          <w:sz w:val="24"/>
          <w:szCs w:val="24"/>
          <w:lang w:eastAsia="ru-RU"/>
        </w:rPr>
        <w:lastRenderedPageBreak/>
        <w:br/>
      </w:r>
      <w:r w:rsidRPr="00412C7E">
        <w:rPr>
          <w:rFonts w:ascii="Times New Roman" w:eastAsia="Times New Roman" w:hAnsi="Times New Roman" w:cs="Times New Roman"/>
          <w:sz w:val="24"/>
          <w:szCs w:val="24"/>
          <w:lang w:eastAsia="ru-RU"/>
        </w:rPr>
        <w:tab/>
      </w:r>
      <w:r w:rsidRPr="00412C7E">
        <w:rPr>
          <w:rFonts w:ascii="Times New Roman" w:eastAsia="Times New Roman" w:hAnsi="Times New Roman" w:cs="Times New Roman"/>
          <w:b/>
          <w:bCs/>
          <w:sz w:val="24"/>
          <w:szCs w:val="24"/>
          <w:lang w:eastAsia="ru-RU"/>
        </w:rPr>
        <w:t>ЗАТВЕРДЖЕНО</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4"/>
          <w:szCs w:val="24"/>
          <w:lang w:eastAsia="ru-RU"/>
        </w:rPr>
        <w:t>Наказ Міністерства</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4"/>
          <w:szCs w:val="24"/>
          <w:lang w:eastAsia="ru-RU"/>
        </w:rPr>
        <w:t>фінансів України</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4"/>
          <w:szCs w:val="24"/>
          <w:lang w:eastAsia="ru-RU"/>
        </w:rPr>
        <w:t>15 вересня 2020 року № 561</w:t>
      </w:r>
    </w:p>
    <w:p w:rsidR="00412C7E" w:rsidRPr="00412C7E" w:rsidRDefault="00412C7E" w:rsidP="00412C7E">
      <w:pPr>
        <w:tabs>
          <w:tab w:val="left" w:pos="5614"/>
        </w:tabs>
        <w:spacing w:before="150" w:after="150" w:line="240" w:lineRule="auto"/>
        <w:ind w:left="-3"/>
        <w:jc w:val="right"/>
        <w:rPr>
          <w:rFonts w:ascii="Times New Roman" w:eastAsia="Times New Roman" w:hAnsi="Times New Roman" w:cs="Times New Roman"/>
          <w:sz w:val="24"/>
          <w:szCs w:val="24"/>
          <w:lang w:eastAsia="ru-RU"/>
        </w:rPr>
      </w:pPr>
      <w:bookmarkStart w:id="7" w:name="n15"/>
      <w:bookmarkEnd w:id="7"/>
      <w:r w:rsidRPr="00412C7E">
        <w:rPr>
          <w:rFonts w:ascii="Times New Roman" w:eastAsia="Times New Roman" w:hAnsi="Times New Roman" w:cs="Times New Roman"/>
          <w:b/>
          <w:bCs/>
          <w:sz w:val="24"/>
          <w:szCs w:val="24"/>
          <w:lang w:eastAsia="ru-RU"/>
        </w:rPr>
        <w:br/>
      </w:r>
      <w:r w:rsidRPr="00412C7E">
        <w:rPr>
          <w:rFonts w:ascii="Times New Roman" w:eastAsia="Times New Roman" w:hAnsi="Times New Roman" w:cs="Times New Roman"/>
          <w:sz w:val="24"/>
          <w:szCs w:val="24"/>
          <w:lang w:eastAsia="ru-RU"/>
        </w:rPr>
        <w:tab/>
      </w:r>
      <w:r w:rsidRPr="00412C7E">
        <w:rPr>
          <w:rFonts w:ascii="Times New Roman" w:eastAsia="Times New Roman" w:hAnsi="Times New Roman" w:cs="Times New Roman"/>
          <w:b/>
          <w:bCs/>
          <w:sz w:val="24"/>
          <w:szCs w:val="24"/>
          <w:lang w:eastAsia="ru-RU"/>
        </w:rPr>
        <w:t>Зареєстровано в Міністерстві</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4"/>
          <w:szCs w:val="24"/>
          <w:lang w:eastAsia="ru-RU"/>
        </w:rPr>
        <w:t>юстиції України</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4"/>
          <w:szCs w:val="24"/>
          <w:lang w:eastAsia="ru-RU"/>
        </w:rPr>
        <w:t>12 листопада 2020 р.</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4"/>
          <w:szCs w:val="24"/>
          <w:lang w:eastAsia="ru-RU"/>
        </w:rPr>
        <w:t>за № 1123/35406</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bookmarkStart w:id="8" w:name="n16"/>
      <w:bookmarkEnd w:id="8"/>
      <w:r w:rsidRPr="00412C7E">
        <w:rPr>
          <w:rFonts w:ascii="Times New Roman" w:eastAsia="Times New Roman" w:hAnsi="Times New Roman" w:cs="Times New Roman"/>
          <w:sz w:val="24"/>
          <w:szCs w:val="24"/>
          <w:lang w:eastAsia="ru-RU"/>
        </w:rPr>
        <w:t>ЗМІНИ</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до Порядку надання документів великого платника податків в електронній формі при проведенні документальної перевірки</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 У розділі І:</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 у пункті 1.1:</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абзаци перший, другий викласти у такій редакції:</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«1.1. Цей Порядок визначає загальні принципи організації надання документів (інформації), визначених пунктом 85.2 статті 85 Податкового кодексу України, в електронній формі великими платниками податків до контролюючих органів та формат і структуру таких документів при проведенні документальної перевірки.</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Цей Порядок поширюється на контролюючі органи, а також великих платників податків.»;</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 у пункті 1.2:</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 абзаці третьому слова «електронні документи великого платника податків» замінити словами «електронні документи (інформація) великого платника податків»;</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доповнити після абзацу третього новим абзацом четвертим такого змісту:</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«контролюючі органи - податкові органи (центральний орган виконавчої влади, що реалізує державну податкову політику, його територіальні органи) - щодо дотримання законодавства з питань оподаткування (крім митних органів), законодавства з питань сплати єдиного внеску, а також щодо дотримання іншого законодавства, контроль за виконанням якого покладено на центральний орган виконавчої влади, що реалізує державну податкову політику, чи його територіальні органи.».</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 зв’язку з цим абзац четвертий вважати абзацом п’ятим;</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 абзаці п’ятому слова «Про електронний цифровий підпис» та» замінити словами «Про електронні довірчі послуги», а також».</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 У розділі II:</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 заголовок викласти у такій редакції:</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«Загальні вимоги до надання електронних документів (інформації) ВПП»;</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 у пункті 2.1:</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 абзаці першому слово «подання» замінити словом «надання»;</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в абзаці другому слова «затвердженому форматі» замінити словами «визначеному цим Порядком форматі;»;</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абзац четвертий виключити.</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 зв’язку з цим абзац п’ятий вважати абзацом четвертим;</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абзац четвертий викласти у такій редакції:</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«отримані у кваліфікованого надавача електронних довірчих послуг (далі - кваліфікований надавач) кваліфіковані сертифікати відкритих ключів посадових осіб юридичної особи, що мають право підпису (керівника, бухгалтера), та/або кваліфікованої електронної печатки (за наявності).»;</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 у пункті 2.2:</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абзац третій викласти у такій редакції:</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«чинні кваліфіковані сертифікати відкритих ключів, сформовані кваліфікованим надавачем для контролюючого органу.»;</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 у пункті 2.3:</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 абзаці другому слово «затвердженому» замінити словами «визначеному цим Порядком»;</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абзаци третій, четвертий викласти у такій редакції:</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«підтвердження кваліфікованого електронного підпису чи печатки платника податків та його посадових осіб, підписи яких є обов’язковими для документів у паперовій формі за умов, встановлених статтею 18 Закону України «Про електронні довірчі послуги»;</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чинність кваліфікованого сертифіката відкритого ключа на момент накладення кваліфікованого електронного підпису чи печатки;»;</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абзац п’ятий виключити;</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 у пункті 2.4:</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абзац другий викласти у такій редакції:</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«надання відомостей про формат електронних документів (інформації) ВПП шляхом їх розміщення на офіційному вебпорталі Державної податкової служби України;»;</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доповнити після абзацу другого новим абзацом третім такого змісту:</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«направлення ВПП запиту у довільній формі про надання електронних документів (інформації) ВПП та відомостей про можливі способи їх подання, електронну адресу та контактні телефони відповідальних осіб;».</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 зв’язку з цим абзаци третій і четвертий вважати відповідно абзацами четвертим і п’ятим;</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абзац четвертий викласти у такій редакції:</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«приймання електронних документів (інформації) ВПП відповідно до встановлених вимог;».</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 У розділі III:</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 заголовок викласти у такій редакції:</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«Загальний формат та порядок надання електронних документів (інформації) ВПП»;</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2) пункт 3.2 викласти у такій редакції:</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«3.2. ВПП відповідно до пункту 85.2 статті 85 Податкового кодексу України зобов’язаний також надати електронні документи (інформацію) ВПП з дотриманням вимог законодавства про електронний документообіг не пізніше двох робочих днів, наступних за днем отримання запиту контролюючого органу, у встановленому цим пунктом форматі.</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Електронні документи (інформація) ВПП надаються у форматі XML у вигляді стандартного аудиторського файлу (SAF-T UA), який представляє собою електронний файл стандартизованої структури, що містить експортовані з вихідної системи обліку дані про наявність та стан активів, власного капіталу та зобов’язань, а також інформацію щодо змін у фінансово-господарському стані суб’єкта господарювання за певний період. Структура надання електронних документів (інформації) ВПП (стандартний аудиторський файл (SAF-T UA)) наведена у додатку до цього Порядку.»;</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 пункт 3.3 викласти у такій редакції:</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«3.3. Формування електронного документа (інформації) ВПП завершується накладанням кваліфікованого електронного підпису та кваліфікованої електронної печатки (за наявності) посадових осіб ВПП у такому порядку: першим - кваліфікований електронний підпис головного бухгалтера (бухгалтера) або кваліфікований електронний підпис керівника; другою - кваліфікована електронна печатка ВПП (за наявності).</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Електронний документ (інформація) ВПП підписується з дотриманням вимог Порядку обміну електронними документами з контролюючими органами, затвердженого наказом Міністерства фінансів України від 06 червня 2017 року № 557, зареєстрованого в Міністерстві юстиції України 03 серпня 2017 року за № 959/30827.»;</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 пункти 3.5, 3.6 викласти у такій редакції:</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«3.5. Електронні документи (інформація) ВПП надсилаються до контролюючого органу засобами телекомунікаційного зв’язку.</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3.6. При прийманні електронних документів (інформації) ВПП від платника податків контролюючим органом здійснюється їх розшифрування, перевіряється кваліфікований електронний підпис, визначається відповідність електронного документа (інформації) ВПП, надісланого засобами телекомунікаційного зв’язку, затвердженому формату.</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При надходженні електронних документів (інформації) ВПП засобами телекомунікаційного зв’язку здійснюється також їх автоматизована перевірка відповідно до Порядку обміну електронними документами з контролюючими органами, затвердженого наказом Міністерства фінансів України від 06 червня 2017 року № 557, зареєстрованого в Міністерстві юстиції України 03 серпня 2017 року за № 959/30827.</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Контролюючим органом забезпечується зберігання отриманих електронних документів (інформації) ВПП до закінчення процедури узгодження результатів перевірки або спливу строку, передбаченого для оскарження результатів в адміністративному та судовому порядках, але не менше строку зберігання акта документальної перевірки, при проведенні якої використовувались зазначені електронні документи (інформація) ВПП.»;</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 абзац перший пункту 3.7 викласти у такій редакції:</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 xml:space="preserve">«3.7. Підтвердженням прийняття та реєстрації або відхилення контролюючим органом електронних документів (інформації) ВПП є повідомлення, яке направляється платнику податків у вигляді електронного документа засобами телекомунікаційного зв’язку. У разі неодержання від контролюючого органу протягом двох робочих днів повідомлення про прийняття і реєстрацію або про відхилення електронного документа </w:t>
      </w:r>
      <w:r w:rsidRPr="00412C7E">
        <w:rPr>
          <w:rFonts w:ascii="Times New Roman" w:eastAsia="Times New Roman" w:hAnsi="Times New Roman" w:cs="Times New Roman"/>
          <w:sz w:val="24"/>
          <w:szCs w:val="24"/>
          <w:lang w:eastAsia="ru-RU"/>
        </w:rPr>
        <w:lastRenderedPageBreak/>
        <w:t>(інформації) ВПП відправник вживає додаткових заходів з використанням інших засобів зв’язку для одержання від адресата відповідного повідомлення.»;</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6) пункт 3.8 викласти у такій редакції:</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«3.8. У випадку виникнення у посадових осіб контролюючого органу під час проведення перевірки необхідності у розгляді і дослідженні електронних документів (інформації) ВПП, не наданих платником податків, ВПП зобов’язаний забезпечити доступ посадових осіб контролюючого органу до електронних документів (інформації) ВПП за місцезнаходженням платника податків та його підрозділів (при проведенні документальних виїзних перевірок) або додатково надати електронні документи (інформацію) ВПП, що належать або пов’язані з предметом перевірки, на вимогу контролюючого органу, не пізніше двох робочих днів, наступних за днем отримання запиту контролюючого органу, в порядку та обсязі, визначених у цьому запиті.».</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 У тексті Порядку:</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слова «надійний засіб електронного цифрового підпису» у всіх відмінках та числах замінити відповідно словами «засіб кваліфікованого електронного підпису чи печатки» у відповідних відмінках та числах;</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слова «електронний цифровий підпис» у всіх відмінках замінити відповідно словами «кваліфікований електронний підпис» у відповідних відмінках;</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слова «орган державної податкової служби» у всіх відмінках замінити відповідно словами «контролюючий орган» у відповідних відмінках;</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слова «електронні документи ВПП» у відповідних відмінках замінити відповідно словами «електронні документи (інформація) ВПП» у відповідних відмінках;</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слова «Про електронний цифровий підпис» замінити відповідно словами «Про електронні довірчі послуги».</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 Доповнити Порядок додатком у редакції, що додається.</w:t>
      </w:r>
    </w:p>
    <w:tbl>
      <w:tblPr>
        <w:tblW w:w="5000" w:type="pct"/>
        <w:tblCellMar>
          <w:left w:w="0" w:type="dxa"/>
          <w:right w:w="0" w:type="dxa"/>
        </w:tblCellMar>
        <w:tblLook w:val="04A0" w:firstRow="1" w:lastRow="0" w:firstColumn="1" w:lastColumn="0" w:noHBand="0" w:noVBand="1"/>
      </w:tblPr>
      <w:tblGrid>
        <w:gridCol w:w="3931"/>
        <w:gridCol w:w="281"/>
        <w:gridCol w:w="5149"/>
      </w:tblGrid>
      <w:tr w:rsidR="00412C7E" w:rsidRPr="00412C7E" w:rsidTr="00412C7E">
        <w:tc>
          <w:tcPr>
            <w:tcW w:w="2100" w:type="pct"/>
            <w:tcBorders>
              <w:top w:val="single" w:sz="2" w:space="0" w:color="auto"/>
              <w:left w:val="single" w:sz="2" w:space="0" w:color="auto"/>
              <w:bottom w:val="single" w:sz="2" w:space="0" w:color="auto"/>
              <w:right w:val="single" w:sz="2" w:space="0" w:color="auto"/>
            </w:tcBorders>
            <w:hideMark/>
          </w:tcPr>
          <w:p w:rsidR="00412C7E" w:rsidRPr="00412C7E" w:rsidRDefault="00412C7E" w:rsidP="00412C7E">
            <w:pPr>
              <w:spacing w:before="300" w:after="150" w:line="240" w:lineRule="auto"/>
              <w:jc w:val="center"/>
              <w:rPr>
                <w:rFonts w:ascii="Times New Roman" w:eastAsia="Times New Roman" w:hAnsi="Times New Roman" w:cs="Times New Roman"/>
                <w:sz w:val="24"/>
                <w:szCs w:val="24"/>
                <w:lang w:eastAsia="ru-RU"/>
              </w:rPr>
            </w:pPr>
            <w:bookmarkStart w:id="9" w:name="n80"/>
            <w:bookmarkEnd w:id="9"/>
            <w:r w:rsidRPr="00412C7E">
              <w:rPr>
                <w:rFonts w:ascii="Times New Roman" w:eastAsia="Times New Roman" w:hAnsi="Times New Roman" w:cs="Times New Roman"/>
                <w:b/>
                <w:bCs/>
                <w:sz w:val="24"/>
                <w:szCs w:val="24"/>
                <w:lang w:eastAsia="ru-RU"/>
              </w:rPr>
              <w:t>Директор Департаменту</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4"/>
                <w:szCs w:val="24"/>
                <w:lang w:eastAsia="ru-RU"/>
              </w:rPr>
              <w:t>податкової політики</w:t>
            </w:r>
          </w:p>
        </w:tc>
        <w:tc>
          <w:tcPr>
            <w:tcW w:w="3500" w:type="pct"/>
            <w:gridSpan w:val="2"/>
            <w:tcBorders>
              <w:top w:val="single" w:sz="2" w:space="0" w:color="auto"/>
              <w:left w:val="single" w:sz="2" w:space="0" w:color="auto"/>
              <w:bottom w:val="single" w:sz="2" w:space="0" w:color="auto"/>
              <w:right w:val="single" w:sz="2" w:space="0" w:color="auto"/>
            </w:tcBorders>
            <w:hideMark/>
          </w:tcPr>
          <w:p w:rsidR="00412C7E" w:rsidRPr="00412C7E" w:rsidRDefault="00412C7E" w:rsidP="00412C7E">
            <w:pPr>
              <w:spacing w:before="300" w:after="0" w:line="240" w:lineRule="auto"/>
              <w:jc w:val="righ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4"/>
                <w:szCs w:val="24"/>
                <w:lang w:eastAsia="ru-RU"/>
              </w:rPr>
              <w:t>Л. Максименко</w:t>
            </w:r>
          </w:p>
        </w:tc>
      </w:tr>
      <w:tr w:rsidR="00412C7E" w:rsidRPr="00412C7E" w:rsidTr="00412C7E">
        <w:tc>
          <w:tcPr>
            <w:tcW w:w="2250" w:type="pct"/>
            <w:gridSpan w:val="2"/>
            <w:tcBorders>
              <w:top w:val="single" w:sz="2" w:space="0" w:color="auto"/>
              <w:left w:val="single" w:sz="2" w:space="0" w:color="auto"/>
              <w:bottom w:val="single" w:sz="2" w:space="0" w:color="auto"/>
              <w:right w:val="single" w:sz="2" w:space="0" w:color="auto"/>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10" w:name="n143"/>
            <w:bookmarkStart w:id="11" w:name="n81"/>
            <w:bookmarkEnd w:id="10"/>
            <w:bookmarkEnd w:id="11"/>
          </w:p>
        </w:tc>
        <w:tc>
          <w:tcPr>
            <w:tcW w:w="2000" w:type="pct"/>
            <w:tcBorders>
              <w:top w:val="single" w:sz="2" w:space="0" w:color="auto"/>
              <w:left w:val="single" w:sz="2" w:space="0" w:color="auto"/>
              <w:bottom w:val="single" w:sz="2" w:space="0" w:color="auto"/>
              <w:right w:val="single" w:sz="2" w:space="0" w:color="auto"/>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Додаток</w:t>
            </w:r>
            <w:r w:rsidRPr="00412C7E">
              <w:rPr>
                <w:rFonts w:ascii="Times New Roman" w:eastAsia="Times New Roman" w:hAnsi="Times New Roman" w:cs="Times New Roman"/>
                <w:sz w:val="24"/>
                <w:szCs w:val="24"/>
                <w:lang w:eastAsia="ru-RU"/>
              </w:rPr>
              <w:br/>
              <w:t>до Порядку надання документів</w:t>
            </w:r>
            <w:r w:rsidRPr="00412C7E">
              <w:rPr>
                <w:rFonts w:ascii="Times New Roman" w:eastAsia="Times New Roman" w:hAnsi="Times New Roman" w:cs="Times New Roman"/>
                <w:sz w:val="24"/>
                <w:szCs w:val="24"/>
                <w:lang w:eastAsia="ru-RU"/>
              </w:rPr>
              <w:br/>
              <w:t>великого платника податків</w:t>
            </w:r>
            <w:r w:rsidRPr="00412C7E">
              <w:rPr>
                <w:rFonts w:ascii="Times New Roman" w:eastAsia="Times New Roman" w:hAnsi="Times New Roman" w:cs="Times New Roman"/>
                <w:sz w:val="24"/>
                <w:szCs w:val="24"/>
                <w:lang w:eastAsia="ru-RU"/>
              </w:rPr>
              <w:br/>
              <w:t>в електронній формі при проведенні</w:t>
            </w:r>
            <w:r w:rsidRPr="00412C7E">
              <w:rPr>
                <w:rFonts w:ascii="Times New Roman" w:eastAsia="Times New Roman" w:hAnsi="Times New Roman" w:cs="Times New Roman"/>
                <w:sz w:val="24"/>
                <w:szCs w:val="24"/>
                <w:lang w:eastAsia="ru-RU"/>
              </w:rPr>
              <w:br/>
              <w:t>документальної перевірки</w:t>
            </w:r>
            <w:r w:rsidRPr="00412C7E">
              <w:rPr>
                <w:rFonts w:ascii="Times New Roman" w:eastAsia="Times New Roman" w:hAnsi="Times New Roman" w:cs="Times New Roman"/>
                <w:sz w:val="24"/>
                <w:szCs w:val="24"/>
                <w:lang w:eastAsia="ru-RU"/>
              </w:rPr>
              <w:br/>
              <w:t>(пункт 3.2 розділу III)</w:t>
            </w:r>
          </w:p>
        </w:tc>
      </w:tr>
    </w:tbl>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12" w:name="n82"/>
      <w:bookmarkEnd w:id="12"/>
      <w:r w:rsidRPr="00412C7E">
        <w:rPr>
          <w:rFonts w:ascii="Times New Roman" w:eastAsia="Times New Roman" w:hAnsi="Times New Roman" w:cs="Times New Roman"/>
          <w:b/>
          <w:bCs/>
          <w:sz w:val="28"/>
          <w:szCs w:val="28"/>
          <w:lang w:eastAsia="ru-RU"/>
        </w:rPr>
        <w:t>СТРУКТУРА</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8"/>
          <w:szCs w:val="28"/>
          <w:lang w:eastAsia="ru-RU"/>
        </w:rPr>
        <w:t>надання електронних документів (інформації) ВПП (стандартний аудиторський файл (SAF-T UA))</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13" w:name="n83"/>
      <w:bookmarkEnd w:id="13"/>
      <w:r w:rsidRPr="00412C7E">
        <w:rPr>
          <w:rFonts w:ascii="Times New Roman" w:eastAsia="Times New Roman" w:hAnsi="Times New Roman" w:cs="Times New Roman"/>
          <w:b/>
          <w:bCs/>
          <w:sz w:val="28"/>
          <w:szCs w:val="28"/>
          <w:lang w:eastAsia="ru-RU"/>
        </w:rPr>
        <w:t>Розділ I. Заголовок</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14" w:name="n84"/>
      <w:bookmarkEnd w:id="14"/>
      <w:r w:rsidRPr="00412C7E">
        <w:rPr>
          <w:rFonts w:ascii="Times New Roman" w:eastAsia="Times New Roman" w:hAnsi="Times New Roman" w:cs="Times New Roman"/>
          <w:b/>
          <w:bCs/>
          <w:sz w:val="28"/>
          <w:szCs w:val="28"/>
          <w:lang w:eastAsia="ru-RU"/>
        </w:rPr>
        <w:t>Підрозділ 1.1. Загальна інформація ВПП</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64"/>
        <w:gridCol w:w="1750"/>
        <w:gridCol w:w="2340"/>
        <w:gridCol w:w="4231"/>
      </w:tblGrid>
      <w:tr w:rsidR="00412C7E" w:rsidRPr="00412C7E" w:rsidTr="00412C7E">
        <w:trPr>
          <w:trHeight w:val="165"/>
        </w:trPr>
        <w:tc>
          <w:tcPr>
            <w:tcW w:w="79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bookmarkStart w:id="15" w:name="n85"/>
            <w:bookmarkEnd w:id="15"/>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115"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25"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Версія cтандартного аудиторського файла</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Визначення версії, що використовується суб’єктом господарювання (SAF-T UA)</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Країна аудиту</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Двобуквений код країни (ISO 3166-1)</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Регіон аудиту</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регіону країни</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створення</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створення файлу SAF-T UA</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компанії програмного забезпечення</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виробника програмного забезпечення, що формує SAF-T UA</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Ідентифікатор програмного забезпечення</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програмного забезпечення, що генерує файл аудиту</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Версія програмного забезпечення</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Версія програмного забезпечення, за допомогою якого сформовано SAF-T UA</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Суб’єкт господарювання</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Дані про суб’єкта господарювання</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ЄДРПОУ</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ідентифікаційний номер юридичної особи в Єдиному державному реєстрі підприємств та організацій України</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суб’єкта господарювання</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суб’єкта господарювання, що надає SAF-T UA</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Місцезнаходження</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Місцезнаходження суб’єкта господарювання</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1.8.3.1.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вулиці</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вулиці</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1.8.3.2.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будинку</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будинку</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1.8.3.3.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Населений пункт</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населеного пункту (міста, селища, смт)</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1.8.3.4.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Область</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області</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1.8.3.5.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Поштовий індекс</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Поштовий індекс</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 xml:space="preserve">Посадові </w:t>
            </w:r>
            <w:r w:rsidRPr="00412C7E">
              <w:rPr>
                <w:rFonts w:ascii="Times New Roman" w:eastAsia="Times New Roman" w:hAnsi="Times New Roman" w:cs="Times New Roman"/>
                <w:sz w:val="24"/>
                <w:szCs w:val="24"/>
                <w:lang w:eastAsia="ru-RU"/>
              </w:rPr>
              <w:lastRenderedPageBreak/>
              <w:t>(уповноважені) особи у періоді, за який сформовано SAF-T UA</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 xml:space="preserve">Інформація про посадових </w:t>
            </w:r>
            <w:r w:rsidRPr="00412C7E">
              <w:rPr>
                <w:rFonts w:ascii="Times New Roman" w:eastAsia="Times New Roman" w:hAnsi="Times New Roman" w:cs="Times New Roman"/>
                <w:sz w:val="24"/>
                <w:szCs w:val="24"/>
                <w:lang w:eastAsia="ru-RU"/>
              </w:rPr>
              <w:lastRenderedPageBreak/>
              <w:t>(уповноважених) осіб суб’єкта господарювання за період господарської діяльності, за який сформовано SAF-T UA (заповнюється окремо щодо кожної такої особи)</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1.8.4.1.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Посади</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Посада особи суб’єкта господарювання</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1.8.4.2.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Прізвище, ім’я та по батькові (за наявності)</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Прізвище, ім’я та по батькові (за наявності) особи суб’єкта господарювання</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1.8.4.3.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Телефон</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телефону посадової (уповноваженої) особи суб’єкта господарювання</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1.8.4.4.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E-mail</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Адреса електронної пошти суб’єкта господарювання</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Посадові (уповноважені) особи що підписали SAF-T UA</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Інформація про посадових (уповноважених) осіб суб’єкта господарювання, що підписали SAF-T UA (заповнюється окремо щодо кожної такої особи)</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1.8.5.1.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Посади</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Посада особи суб’єкта господарювання</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1.8.5.2.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Прізвище, ім’я та по батькові (за наявності)</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Прізвище, ім’я та по батькові (за наявності) особи суб’єкта господарювання</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1.8.5.3.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Телефон</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телефону посадової (уповноваженої) особи суб’єкта господарювання</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Критерії відбору</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1.8.6.1.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початку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початку періоду, за який формується SAF-T UA</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1.8.6.2.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1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закінчення</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c>
          <w:tcPr>
            <w:tcW w:w="382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закінчення періоду, за який формується SAF-T UA</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16" w:name="n86"/>
      <w:bookmarkEnd w:id="16"/>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розділі «Заголовок» необхідно відобразити загальні дані про суб’єкта господарювання, який подає SAF-T UA, у т.ч. про структурні підрозділи (за їх наявності).</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Початок та кінець періоду, за який формується SAF-T UA, визначаються в запиті контролюючого органу.</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17" w:name="n87"/>
      <w:bookmarkEnd w:id="17"/>
      <w:r w:rsidRPr="00412C7E">
        <w:rPr>
          <w:rFonts w:ascii="Times New Roman" w:eastAsia="Times New Roman" w:hAnsi="Times New Roman" w:cs="Times New Roman"/>
          <w:b/>
          <w:bCs/>
          <w:sz w:val="28"/>
          <w:szCs w:val="28"/>
          <w:lang w:eastAsia="ru-RU"/>
        </w:rPr>
        <w:t>Розділ II. Довідники</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18" w:name="n88"/>
      <w:bookmarkEnd w:id="18"/>
      <w:r w:rsidRPr="00412C7E">
        <w:rPr>
          <w:rFonts w:ascii="Times New Roman" w:eastAsia="Times New Roman" w:hAnsi="Times New Roman" w:cs="Times New Roman"/>
          <w:b/>
          <w:bCs/>
          <w:sz w:val="28"/>
          <w:szCs w:val="28"/>
          <w:lang w:eastAsia="ru-RU"/>
        </w:rPr>
        <w:t>Підрозділ 2.1. Облікова політика</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72"/>
        <w:gridCol w:w="1762"/>
        <w:gridCol w:w="2089"/>
        <w:gridCol w:w="4462"/>
      </w:tblGrid>
      <w:tr w:rsidR="00412C7E" w:rsidRPr="00412C7E" w:rsidTr="00412C7E">
        <w:trPr>
          <w:trHeight w:val="60"/>
        </w:trPr>
        <w:tc>
          <w:tcPr>
            <w:tcW w:w="79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bookmarkStart w:id="19" w:name="n89"/>
            <w:bookmarkEnd w:id="19"/>
            <w:r w:rsidRPr="00412C7E">
              <w:rPr>
                <w:rFonts w:ascii="Times New Roman" w:eastAsia="Times New Roman" w:hAnsi="Times New Roman" w:cs="Times New Roman"/>
                <w:sz w:val="24"/>
                <w:szCs w:val="24"/>
                <w:lang w:eastAsia="ru-RU"/>
              </w:rPr>
              <w:lastRenderedPageBreak/>
              <w:t>Номер елемента</w:t>
            </w:r>
          </w:p>
        </w:tc>
        <w:tc>
          <w:tcPr>
            <w:tcW w:w="1035"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1875"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4005"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2.1.1</w:t>
            </w:r>
          </w:p>
        </w:tc>
        <w:tc>
          <w:tcPr>
            <w:tcW w:w="103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1875" w:type="dxa"/>
            <w:vMerge w:val="restart"/>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 облікової політики</w:t>
            </w:r>
          </w:p>
        </w:tc>
        <w:tc>
          <w:tcPr>
            <w:tcW w:w="400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Опис застосовуваного варіанта (критерію), період дії</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2.1.2</w:t>
            </w:r>
          </w:p>
        </w:tc>
        <w:tc>
          <w:tcPr>
            <w:tcW w:w="103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0" w:type="auto"/>
            <w:vMerge/>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24"/>
                <w:szCs w:val="24"/>
                <w:lang w:eastAsia="ru-RU"/>
              </w:rPr>
            </w:pPr>
          </w:p>
        </w:tc>
        <w:tc>
          <w:tcPr>
            <w:tcW w:w="400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номер розпорядчого документа про застосування визначеного елемента облікової політики</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2.1.3</w:t>
            </w:r>
          </w:p>
        </w:tc>
        <w:tc>
          <w:tcPr>
            <w:tcW w:w="103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0" w:type="auto"/>
            <w:vMerge/>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24"/>
                <w:szCs w:val="24"/>
                <w:lang w:eastAsia="ru-RU"/>
              </w:rPr>
            </w:pPr>
          </w:p>
        </w:tc>
        <w:tc>
          <w:tcPr>
            <w:tcW w:w="400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Посилання на відповідну норму національних/міжнародних стандартів бухгалтерського обліку (далі - ПСБО/МСБО), Міжнародних стандартів фінансової звітності (далі - МСФЗ)</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6"/>
                <w:szCs w:val="24"/>
                <w:lang w:eastAsia="ru-RU"/>
              </w:rPr>
            </w:pPr>
          </w:p>
        </w:tc>
        <w:tc>
          <w:tcPr>
            <w:tcW w:w="1035"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6"/>
                <w:szCs w:val="24"/>
                <w:lang w:eastAsia="ru-RU"/>
              </w:rPr>
            </w:pPr>
          </w:p>
        </w:tc>
        <w:tc>
          <w:tcPr>
            <w:tcW w:w="1875"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6"/>
                <w:szCs w:val="24"/>
                <w:lang w:eastAsia="ru-RU"/>
              </w:rPr>
            </w:pPr>
          </w:p>
        </w:tc>
        <w:tc>
          <w:tcPr>
            <w:tcW w:w="4005"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6"/>
                <w:szCs w:val="24"/>
                <w:lang w:eastAsia="ru-RU"/>
              </w:rPr>
            </w:pP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20" w:name="n90"/>
      <w:bookmarkEnd w:id="20"/>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підрозділі «Облікова політика» зазначається інформація щодо елементів облікової політики суб’єкта господарювання у періоді, за який формується SAF-T UA, з наведенням реквізитів наказу(ів) про облікову політику (дата, номер) за відповідні звітні періоди (та про внесення змін до них - у разі наявності).</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0"/>
          <w:szCs w:val="20"/>
          <w:lang w:eastAsia="ru-RU"/>
        </w:rPr>
        <w:t>Також необхідно зазначити, які саме стандарти бухгалтерського обліку застосовуються суб’єктом господарювання для ведення бухгалтерського обліку- ПСБО/МСБО, та застосування класів рахунків.</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0"/>
          <w:szCs w:val="20"/>
          <w:lang w:eastAsia="ru-RU"/>
        </w:rPr>
        <w:t>Інформація заповнюється у табличному вигляді згідно з наведеним вище зразком, при цьому відображенню підлягає вся інформація, передбачена у наказі(ах) про облікову політику. У колонку «Елемент» переноситься показник щодо методів амортизації, порядку формування резервів, у тому числі резервів сумнівних боргів, методів оцінки вибуття запасів, визначення порогів суттєвості, проведення інвентаризації, порядку формування інших показників фінансової звітності тощо (відображення яких передбачено нормативно-правовими актами щодо облікової політики підприємства чи Концептуальною основою складання та подання фінансових звітів (для - МСФЗ)).</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0"/>
          <w:szCs w:val="20"/>
          <w:lang w:eastAsia="ru-RU"/>
        </w:rPr>
        <w:t>В інформації «Опис застосовуваного варіанта (критерію)» наводиться опис кожного обраного суб’єктом господарювання показника, зазначеного в колонці «Елемент».</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0"/>
          <w:szCs w:val="20"/>
          <w:lang w:eastAsia="ru-RU"/>
        </w:rPr>
        <w:t>В інформації щодо «Посилання на відповідну норму ПСБО/МСБО, МСФЗ» наводиться, який саме стандарт є підставою при здійсненні бухгалтерських операцій (проведень) для вибору елемента облікової політики.</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0"/>
          <w:szCs w:val="20"/>
          <w:lang w:eastAsia="ru-RU"/>
        </w:rPr>
        <w:t>До цього підрозділу надаються копії розпорядчих документів про затвердження облікової політики суб’єкта господарювання в електронній формі (якщо суб’єкт господарювання не створював ці документи в електронній формі, надаються копії у форматі pdf).</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21" w:name="n91"/>
      <w:bookmarkEnd w:id="21"/>
      <w:r w:rsidRPr="00412C7E">
        <w:rPr>
          <w:rFonts w:ascii="Times New Roman" w:eastAsia="Times New Roman" w:hAnsi="Times New Roman" w:cs="Times New Roman"/>
          <w:b/>
          <w:bCs/>
          <w:sz w:val="28"/>
          <w:szCs w:val="28"/>
          <w:lang w:eastAsia="ru-RU"/>
        </w:rPr>
        <w:t>Підрозділ 2.2. Довідники операцій</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72"/>
        <w:gridCol w:w="1762"/>
        <w:gridCol w:w="2273"/>
        <w:gridCol w:w="4278"/>
      </w:tblGrid>
      <w:tr w:rsidR="00412C7E" w:rsidRPr="00412C7E" w:rsidTr="00412C7E">
        <w:trPr>
          <w:trHeight w:val="60"/>
        </w:trPr>
        <w:tc>
          <w:tcPr>
            <w:tcW w:w="79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bookmarkStart w:id="22" w:name="n92"/>
            <w:bookmarkEnd w:id="22"/>
            <w:r w:rsidRPr="00412C7E">
              <w:rPr>
                <w:rFonts w:ascii="Times New Roman" w:eastAsia="Times New Roman" w:hAnsi="Times New Roman" w:cs="Times New Roman"/>
                <w:sz w:val="24"/>
                <w:szCs w:val="24"/>
                <w:lang w:eastAsia="ru-RU"/>
              </w:rPr>
              <w:t>Номер елемента</w:t>
            </w:r>
          </w:p>
        </w:tc>
        <w:tc>
          <w:tcPr>
            <w:tcW w:w="102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2.2.1</w:t>
            </w:r>
          </w:p>
        </w:tc>
        <w:tc>
          <w:tcPr>
            <w:tcW w:w="102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Тип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Умовне позначення операції</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2.2.2</w:t>
            </w:r>
          </w:p>
        </w:tc>
        <w:tc>
          <w:tcPr>
            <w:tcW w:w="102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Опис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конкретного типу операції</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23" w:name="n93"/>
      <w:bookmarkEnd w:id="23"/>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Підрозділ «Довідники операцій» передбачає опис типів господарських операцій, що здійснювалися суб’єктом господарювання, із наведенням відповідних умовних позначень операцій та їх характеристик.</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xml:space="preserve"> Наводиться відповідне умовне позначення або кодування операцій. При наведенні типу та опису операцій, пов’язаних з придбанням/продажем товарів, робіт/послуг здійснюється відповідне розмежування зазначених операцій з урахуванням того, яка подія (перерахування коштів (додаткова ознака при умовному позначенні операції - «С», або отримання чи постачання товарів, робіт/послуг (додаткова ознака при умовному позначенні операції - «П»)), відбулася першою (у разі, якщо суб’єктом господарювання застосовуються інші </w:t>
      </w:r>
      <w:r w:rsidRPr="00412C7E">
        <w:rPr>
          <w:rFonts w:ascii="Times New Roman" w:eastAsia="Times New Roman" w:hAnsi="Times New Roman" w:cs="Times New Roman"/>
          <w:sz w:val="20"/>
          <w:szCs w:val="20"/>
          <w:lang w:eastAsia="ru-RU"/>
        </w:rPr>
        <w:lastRenderedPageBreak/>
        <w:t>ознаки або кодування операцій, які дозволяють здійснити вищенаведене розмежування, можуть бути застосовані такі ознаки або коди операцій).</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24" w:name="n94"/>
      <w:bookmarkEnd w:id="24"/>
      <w:r w:rsidRPr="00412C7E">
        <w:rPr>
          <w:rFonts w:ascii="Times New Roman" w:eastAsia="Times New Roman" w:hAnsi="Times New Roman" w:cs="Times New Roman"/>
          <w:b/>
          <w:bCs/>
          <w:sz w:val="28"/>
          <w:szCs w:val="28"/>
          <w:lang w:eastAsia="ru-RU"/>
        </w:rPr>
        <w:t>Підрозділ 2.3. Власники (засновники)</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62"/>
        <w:gridCol w:w="1747"/>
        <w:gridCol w:w="2319"/>
        <w:gridCol w:w="4257"/>
      </w:tblGrid>
      <w:tr w:rsidR="00412C7E" w:rsidRPr="00412C7E" w:rsidTr="00412C7E">
        <w:trPr>
          <w:trHeight w:val="60"/>
        </w:trPr>
        <w:tc>
          <w:tcPr>
            <w:tcW w:w="79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bookmarkStart w:id="25" w:name="n95"/>
            <w:bookmarkEnd w:id="25"/>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10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55"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ЄДРПОУ/РНОКПП власника (засновника)</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ідентифікаційний номер юридичної особи в Єдиному державному реєстрі підприємств та організацій України / Реєстраційний номер облікової картки платника податків фізичної особи</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 прізвище, ім’я та по батькові (за наявності)</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 прізвище, ім’я та по батькові (за наявності) власника (засновника)</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внеску в національній валюті</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внеску в національній валюті</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6"/>
                <w:szCs w:val="24"/>
                <w:lang w:eastAsia="ru-RU"/>
              </w:rPr>
            </w:pP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внеску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внеску</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6"/>
                <w:szCs w:val="24"/>
                <w:lang w:eastAsia="ru-RU"/>
              </w:rPr>
            </w:pP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Форма внеску</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Грошові кошти, ТМЦ, цінні папери тощо</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Частка (доля) у статутному капіталі</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Відсотковий еквівалент частки</w:t>
            </w:r>
          </w:p>
        </w:tc>
      </w:tr>
      <w:tr w:rsidR="00412C7E" w:rsidRPr="00412C7E" w:rsidTr="00412C7E">
        <w:trPr>
          <w:trHeight w:val="25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Місцезнаходження</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Місцезнаходження (адреса) власника (засновника)</w:t>
            </w:r>
          </w:p>
        </w:tc>
      </w:tr>
      <w:tr w:rsidR="00412C7E" w:rsidRPr="00412C7E" w:rsidTr="00412C7E">
        <w:trPr>
          <w:trHeight w:val="22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22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2.3.8.1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22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22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вулиці</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22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вулиці</w:t>
            </w:r>
          </w:p>
        </w:tc>
      </w:tr>
      <w:tr w:rsidR="00412C7E" w:rsidRPr="00412C7E" w:rsidTr="00412C7E">
        <w:trPr>
          <w:trHeight w:val="24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2.3.8.2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будинку, квартири</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будинку, квартири</w:t>
            </w:r>
          </w:p>
        </w:tc>
      </w:tr>
      <w:tr w:rsidR="00412C7E" w:rsidRPr="00412C7E" w:rsidTr="00412C7E">
        <w:trPr>
          <w:trHeight w:val="18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8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2.3.8.3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8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8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Місто Населений пункт</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18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населеного пункту (міста, селища, смт)</w:t>
            </w:r>
          </w:p>
        </w:tc>
      </w:tr>
      <w:tr w:rsidR="00412C7E" w:rsidRPr="00412C7E" w:rsidTr="00412C7E">
        <w:trPr>
          <w:trHeight w:val="24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2.3.8.4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24"/>
                <w:szCs w:val="24"/>
                <w:lang w:eastAsia="ru-RU"/>
              </w:rPr>
            </w:pP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Область</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області</w:t>
            </w:r>
          </w:p>
        </w:tc>
      </w:tr>
      <w:tr w:rsidR="00412C7E" w:rsidRPr="00412C7E" w:rsidTr="00412C7E">
        <w:trPr>
          <w:trHeight w:val="18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8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2.3.8.5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8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8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Країна</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18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країни</w:t>
            </w:r>
          </w:p>
        </w:tc>
      </w:tr>
      <w:tr w:rsidR="00412C7E" w:rsidRPr="00412C7E" w:rsidTr="00412C7E">
        <w:trPr>
          <w:trHeight w:val="27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2.3.8.6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24"/>
                <w:szCs w:val="24"/>
                <w:lang w:eastAsia="ru-RU"/>
              </w:rPr>
            </w:pP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Поштовий індекс</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Поштовий індекс</w:t>
            </w:r>
          </w:p>
        </w:tc>
      </w:tr>
      <w:tr w:rsidR="00412C7E" w:rsidRPr="00412C7E" w:rsidTr="00412C7E">
        <w:trPr>
          <w:trHeight w:val="24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2.3.9</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24"/>
                <w:szCs w:val="24"/>
                <w:lang w:eastAsia="ru-RU"/>
              </w:rPr>
            </w:pP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Посадові (уповноважені) особи власника (засновника)</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Контактні дані власника (засновника)</w:t>
            </w:r>
          </w:p>
        </w:tc>
      </w:tr>
      <w:tr w:rsidR="00412C7E" w:rsidRPr="00412C7E" w:rsidTr="00412C7E">
        <w:trPr>
          <w:trHeight w:val="16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2.3.9.1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Прізвище, ім’я та по батькові (за наявності)</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Прізвище, ім’я та по батькові (за наявності) особи</w:t>
            </w:r>
          </w:p>
        </w:tc>
      </w:tr>
      <w:tr w:rsidR="00412C7E" w:rsidRPr="00412C7E" w:rsidTr="00412C7E">
        <w:trPr>
          <w:trHeight w:val="22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22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2.3.9.2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Cs w:val="24"/>
                <w:lang w:eastAsia="ru-RU"/>
              </w:rPr>
            </w:pP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Cs w:val="24"/>
                <w:lang w:eastAsia="ru-RU"/>
              </w:rPr>
            </w:pP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22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Посада особи (зазначається у випадку, якщо засновник юридична особа)</w:t>
            </w:r>
          </w:p>
        </w:tc>
      </w:tr>
      <w:tr w:rsidR="00412C7E" w:rsidRPr="00412C7E" w:rsidTr="00412C7E">
        <w:trPr>
          <w:trHeight w:val="195"/>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9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2.3.9.3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20"/>
                <w:szCs w:val="24"/>
                <w:lang w:eastAsia="ru-RU"/>
              </w:rPr>
            </w:pP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9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Телефон</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19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телефону</w:t>
            </w:r>
          </w:p>
        </w:tc>
      </w:tr>
      <w:tr w:rsidR="00412C7E" w:rsidRPr="00412C7E" w:rsidTr="00412C7E">
        <w:trPr>
          <w:trHeight w:val="27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2.3.9.4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24"/>
                <w:szCs w:val="24"/>
                <w:lang w:eastAsia="ru-RU"/>
              </w:rPr>
            </w:pP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E-mail</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Адреса електронної пошти</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6"/>
                <w:szCs w:val="24"/>
                <w:lang w:eastAsia="ru-RU"/>
              </w:rPr>
            </w:pP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6"/>
                <w:szCs w:val="24"/>
                <w:lang w:eastAsia="ru-RU"/>
              </w:rPr>
            </w:pPr>
          </w:p>
        </w:tc>
        <w:tc>
          <w:tcPr>
            <w:tcW w:w="5955" w:type="dxa"/>
            <w:gridSpan w:val="2"/>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Рахунок бухгалтерського обліку</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2.3.10</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бухгалтерського обліку суб’єкта господарювання, на якому обліковуються господарські операції з власником</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2.3.10.1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рахунку/субрахунку / аналітичного рахунку суб’єкта господарювання для цього власника</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2.3.10.2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Початкове дебетове сальдо</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дебету рахунку/субрахунку/аналітичного рахунку на початок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3 </w:t>
            </w:r>
            <w:r w:rsidRPr="00412C7E">
              <w:rPr>
                <w:rFonts w:ascii="Times New Roman" w:eastAsia="Times New Roman" w:hAnsi="Times New Roman" w:cs="Times New Roman"/>
                <w:sz w:val="24"/>
                <w:szCs w:val="24"/>
                <w:lang w:eastAsia="ru-RU"/>
              </w:rPr>
              <w:t>(розгорнуте сальдо)</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2.3.10.3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Початкове кредитове сальдо</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кредиту рахунку/субрахунку/аналітичного рахунку на початок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3 </w:t>
            </w:r>
            <w:r w:rsidRPr="00412C7E">
              <w:rPr>
                <w:rFonts w:ascii="Times New Roman" w:eastAsia="Times New Roman" w:hAnsi="Times New Roman" w:cs="Times New Roman"/>
                <w:sz w:val="24"/>
                <w:szCs w:val="24"/>
                <w:lang w:eastAsia="ru-RU"/>
              </w:rPr>
              <w:t>(розгорнуте сальдо)</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2.3.10.4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Кінцеве дебетове сальдо</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дебету рахунку/субрахунку/аналітичного рахунку на кінець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3 </w:t>
            </w:r>
            <w:r w:rsidRPr="00412C7E">
              <w:rPr>
                <w:rFonts w:ascii="Times New Roman" w:eastAsia="Times New Roman" w:hAnsi="Times New Roman" w:cs="Times New Roman"/>
                <w:sz w:val="24"/>
                <w:szCs w:val="24"/>
                <w:lang w:eastAsia="ru-RU"/>
              </w:rPr>
              <w:t>(розгорнуте сальдо)</w:t>
            </w:r>
          </w:p>
        </w:tc>
      </w:tr>
      <w:tr w:rsidR="00412C7E" w:rsidRPr="00412C7E" w:rsidTr="00412C7E">
        <w:trPr>
          <w:trHeight w:val="60"/>
        </w:trPr>
        <w:tc>
          <w:tcPr>
            <w:tcW w:w="79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2.3.10.5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Кінцеве кредитове сальдо</w:t>
            </w:r>
          </w:p>
        </w:tc>
        <w:tc>
          <w:tcPr>
            <w:tcW w:w="385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кредиту рахунку/субрахунку/аналітичного рахунку на кінець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3 </w:t>
            </w:r>
            <w:r w:rsidRPr="00412C7E">
              <w:rPr>
                <w:rFonts w:ascii="Times New Roman" w:eastAsia="Times New Roman" w:hAnsi="Times New Roman" w:cs="Times New Roman"/>
                <w:sz w:val="24"/>
                <w:szCs w:val="24"/>
                <w:lang w:eastAsia="ru-RU"/>
              </w:rPr>
              <w:t>(розгорнуте сальдо)</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26" w:name="n96"/>
      <w:bookmarkEnd w:id="26"/>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xml:space="preserve"> У підрозділі «Власники (засновники)» розкривається інформація про власника(ів) (засновника(ів)) суб’єкта </w:t>
      </w:r>
      <w:r w:rsidRPr="00412C7E">
        <w:rPr>
          <w:rFonts w:ascii="Times New Roman" w:eastAsia="Times New Roman" w:hAnsi="Times New Roman" w:cs="Times New Roman"/>
          <w:sz w:val="20"/>
          <w:szCs w:val="20"/>
          <w:lang w:eastAsia="ru-RU"/>
        </w:rPr>
        <w:lastRenderedPageBreak/>
        <w:t>господарювання, заповнюється окремо в розрізі кожного суб’єкта (юридичної/фізичної особи) з описом їхніх реєстраційних (загальних) даних.</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Інформація заповнюється у випадку здійснення внеску в іноземній валюті.</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w:t>
      </w:r>
      <w:r w:rsidRPr="00412C7E">
        <w:rPr>
          <w:rFonts w:ascii="Times New Roman" w:eastAsia="Times New Roman" w:hAnsi="Times New Roman" w:cs="Times New Roman"/>
          <w:sz w:val="20"/>
          <w:szCs w:val="20"/>
          <w:lang w:eastAsia="ru-RU"/>
        </w:rPr>
        <w:t> Початок та кінець періоду, за який формується SAF-T UA, визначаються в запиті контролюючого органу.</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27" w:name="n97"/>
      <w:bookmarkEnd w:id="27"/>
      <w:r w:rsidRPr="00412C7E">
        <w:rPr>
          <w:rFonts w:ascii="Times New Roman" w:eastAsia="Times New Roman" w:hAnsi="Times New Roman" w:cs="Times New Roman"/>
          <w:b/>
          <w:bCs/>
          <w:sz w:val="28"/>
          <w:szCs w:val="28"/>
          <w:lang w:eastAsia="ru-RU"/>
        </w:rPr>
        <w:t>Підрозділ 2.4. Сальдові/оборотні відомості</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bookmarkStart w:id="28" w:name="n98"/>
      <w:bookmarkEnd w:id="28"/>
      <w:r w:rsidRPr="00412C7E">
        <w:rPr>
          <w:rFonts w:ascii="Times New Roman" w:eastAsia="Times New Roman" w:hAnsi="Times New Roman" w:cs="Times New Roman"/>
          <w:sz w:val="24"/>
          <w:szCs w:val="24"/>
          <w:lang w:eastAsia="ru-RU"/>
        </w:rPr>
        <w:t>Пункт 2.4.1. По рахунках/субрахунках</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60"/>
        <w:gridCol w:w="1742"/>
        <w:gridCol w:w="2322"/>
        <w:gridCol w:w="4261"/>
      </w:tblGrid>
      <w:tr w:rsidR="00412C7E" w:rsidRPr="00412C7E" w:rsidTr="00412C7E">
        <w:trPr>
          <w:trHeight w:val="60"/>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bookmarkStart w:id="29" w:name="n99"/>
            <w:bookmarkEnd w:id="29"/>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25"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7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рахунку/субрахунку</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відповідно до Плану рахунків суб’єкта господарювання</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рахунку/субрахунку</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рахунку/субрахунку згідно з Планом рахунків суб’єкта господарювання</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2.4.1.2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створення</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створення облікового запису програмним забезпеченням, яке використовується суб’єктом господарювання</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2.4.1.3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Початкове дебетове сальдо</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дебету рахунку/субрахунку на початок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4"/>
                <w:szCs w:val="24"/>
                <w:lang w:eastAsia="ru-RU"/>
              </w:rPr>
              <w:t> (розгорнуте сальдо)</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2.4.1.4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Початкове кредитове сальдо</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кредиту рахунку/субрахунку на початок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4"/>
                <w:szCs w:val="24"/>
                <w:lang w:eastAsia="ru-RU"/>
              </w:rPr>
              <w:t> (розгорнуте сальдо)</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2.4.1.5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Дебетовий оборот</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записів по дебету рахунку/субрахунку за період</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2.4.1.6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Кредитовий оборот</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записів по кредиту рахунку/субрахунку за період</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2.4.1.7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Кінцеве дебетове сальдо</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дебету рахунку/субрахунку на кінець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4"/>
                <w:szCs w:val="24"/>
                <w:lang w:eastAsia="ru-RU"/>
              </w:rPr>
              <w:t> (розгорнуте сальдо)</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2.4.1.8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Кінцеве кредитове сальдо</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кредиту рахунку/субрахунку на кінець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4"/>
                <w:szCs w:val="24"/>
                <w:lang w:eastAsia="ru-RU"/>
              </w:rPr>
              <w:t> (розгорнуте сальдо)</w:t>
            </w:r>
          </w:p>
        </w:tc>
      </w:tr>
    </w:tbl>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bookmarkStart w:id="30" w:name="n100"/>
      <w:bookmarkEnd w:id="30"/>
      <w:r w:rsidRPr="00412C7E">
        <w:rPr>
          <w:rFonts w:ascii="Times New Roman" w:eastAsia="Times New Roman" w:hAnsi="Times New Roman" w:cs="Times New Roman"/>
          <w:sz w:val="24"/>
          <w:szCs w:val="24"/>
          <w:lang w:eastAsia="ru-RU"/>
        </w:rPr>
        <w:t>Пункт 2.4.2. По аналітичних рахунках</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70"/>
        <w:gridCol w:w="1759"/>
        <w:gridCol w:w="2252"/>
        <w:gridCol w:w="4304"/>
      </w:tblGrid>
      <w:tr w:rsidR="00412C7E" w:rsidRPr="00412C7E" w:rsidTr="00412C7E">
        <w:trPr>
          <w:trHeight w:val="60"/>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bookmarkStart w:id="31" w:name="n101"/>
            <w:bookmarkEnd w:id="31"/>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25"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7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2.4.2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аналітичного рахунку</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аналітичного рахунку відповідно до Плану рахунків суб’єкта господарювання</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аналітичного рахунку</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аналітичного рахунку згідно з Планом рахунків суб’єкта господарювання</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2.4.2.2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створення</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створення облікового запису програмним забезпеченням, яке використовується суб’єктом господарювання</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2.4.2.3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Початкове дебетове сальдо</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дебету аналітичного рахунку на початок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4"/>
                <w:szCs w:val="24"/>
                <w:lang w:eastAsia="ru-RU"/>
              </w:rPr>
              <w:t> (розгорнуте сальдо)</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2.4.2.4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Початкове кредитове сальдо</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кредиту аналітичного рахунку на початок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4"/>
                <w:szCs w:val="24"/>
                <w:lang w:eastAsia="ru-RU"/>
              </w:rPr>
              <w:t> (розгорнуте сальдо)</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2.4.2.5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Дебетовий оборот</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записів по дебету аналітичного рахунку за період</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2.4.2.6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Кредитовий оборот</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записів по кредиту аналітичного рахунку за період</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2.4.2.7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Кінцеве дебетове сальдо</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дебету аналітичного рахунку на кінець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4"/>
                <w:szCs w:val="24"/>
                <w:lang w:eastAsia="ru-RU"/>
              </w:rPr>
              <w:t> (розгорнуте сальдо)</w:t>
            </w:r>
          </w:p>
        </w:tc>
      </w:tr>
      <w:tr w:rsidR="00412C7E" w:rsidRPr="00412C7E" w:rsidTr="00412C7E">
        <w:trPr>
          <w:trHeight w:val="6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2.4.2.8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25"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Кінцеве кредитове сальдо</w:t>
            </w:r>
          </w:p>
        </w:tc>
        <w:tc>
          <w:tcPr>
            <w:tcW w:w="3870" w:type="dxa"/>
            <w:tcBorders>
              <w:top w:val="nil"/>
              <w:left w:val="nil"/>
              <w:bottom w:val="single" w:sz="6" w:space="0" w:color="000000"/>
              <w:right w:val="single" w:sz="6" w:space="0" w:color="000000"/>
            </w:tcBorders>
            <w:hideMark/>
          </w:tcPr>
          <w:p w:rsidR="00412C7E" w:rsidRPr="00412C7E" w:rsidRDefault="00412C7E" w:rsidP="00412C7E">
            <w:pPr>
              <w:spacing w:before="150" w:after="150" w:line="60"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кредиту аналітичного рахунку на кінець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4"/>
                <w:szCs w:val="24"/>
                <w:lang w:eastAsia="ru-RU"/>
              </w:rPr>
              <w:t> (розгорнуте сальдо)</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32" w:name="n102"/>
      <w:bookmarkEnd w:id="32"/>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підрозділі «Сальдові/оборотні відомості» по рахунках/субрахунках відображається інформація про застосовувані рахунки/субрахунки бухгалтерського обліку для ведення господарської діяльності суб’єкта господарювання із зазначенням в розрізі кожного рахунку та субрахунку їх номерів, найменувань, дат створення облікових записів та розгорнутого сальдо на початок та кінець періоду, з розбивкою по дебету та кредиту цих рахунків/субрахунків (у випадку, якщо програмний продукт, що застосовується ВПП для ведення бухгалтерського обліку, не здійснює формування оборотно-сальдових відомостей, зазначений підрозділ формується із зазначенням відповідних даних оборотів по дебету та кредиту цих рахунків/субрахунків замість зазначення початкового та кінцевого сальдо, про що здійснюється відповідна відмітка при формуванні опису).</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0"/>
          <w:szCs w:val="20"/>
          <w:lang w:eastAsia="ru-RU"/>
        </w:rPr>
        <w:t>У підрозділі «Сальдові/оборотні відомості» по аналітичних рахунках вносяться передбачені в підрозділі дані в розрізі кожного аналітичного рахунку.</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Зазначаються дані на початок та кінець періоду, за який формується SAF-T UA, та визначений в запиті контролюючого органу.</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33" w:name="n103"/>
      <w:bookmarkEnd w:id="33"/>
      <w:r w:rsidRPr="00412C7E">
        <w:rPr>
          <w:rFonts w:ascii="Times New Roman" w:eastAsia="Times New Roman" w:hAnsi="Times New Roman" w:cs="Times New Roman"/>
          <w:b/>
          <w:bCs/>
          <w:sz w:val="28"/>
          <w:szCs w:val="28"/>
          <w:lang w:eastAsia="ru-RU"/>
        </w:rPr>
        <w:t>Підрозділ 2.5. Контрагенти</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71"/>
        <w:gridCol w:w="1759"/>
        <w:gridCol w:w="2335"/>
        <w:gridCol w:w="4220"/>
      </w:tblGrid>
      <w:tr w:rsidR="00412C7E" w:rsidRPr="00412C7E" w:rsidTr="00412C7E">
        <w:trPr>
          <w:trHeight w:val="165"/>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bookmarkStart w:id="34" w:name="n104"/>
            <w:bookmarkEnd w:id="34"/>
            <w:r w:rsidRPr="00412C7E">
              <w:rPr>
                <w:rFonts w:ascii="Times New Roman" w:eastAsia="Times New Roman" w:hAnsi="Times New Roman" w:cs="Times New Roman"/>
                <w:sz w:val="24"/>
                <w:szCs w:val="24"/>
                <w:lang w:eastAsia="ru-RU"/>
              </w:rPr>
              <w:lastRenderedPageBreak/>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10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795"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ЄДРПОУ/РНОКПП контрагента</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ідентифікаційний номер юридичної особи в Єдиному державному реєстрі підприємств та організацій України / Реєстраційний номер облікової картки платника податків фізичної особи</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 прізвище, ім’я та по батькові (за наявності)</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контрагента / прізвище, ім’я та по батькові (за наявності)</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Індивідуальний податковий номер</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платника податку на додану вартість у реєстрі платників податку на додану вартість</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бухгалтерського обліку, що застосовується суб’єктом господарювання для цього контрагента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рахунку/субрахунку / аналітичного рахунку, що застосовується суб’єктом господарювання для цього контрагента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Початкове дебетове сальдо</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дебету рахунку/субрахунку/аналітичного рахунку на початок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3 </w:t>
            </w:r>
            <w:r w:rsidRPr="00412C7E">
              <w:rPr>
                <w:rFonts w:ascii="Times New Roman" w:eastAsia="Times New Roman" w:hAnsi="Times New Roman" w:cs="Times New Roman"/>
                <w:sz w:val="24"/>
                <w:szCs w:val="24"/>
                <w:lang w:eastAsia="ru-RU"/>
              </w:rPr>
              <w:t>(розгорнуте сальдо)</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виникнення заборгованості</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виникнення дебіторської заборгованості</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Початкове кредитове сальдо</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кредиту рахунку/субрахунку/аналітичного рахунку на початок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3 </w:t>
            </w:r>
            <w:r w:rsidRPr="00412C7E">
              <w:rPr>
                <w:rFonts w:ascii="Times New Roman" w:eastAsia="Times New Roman" w:hAnsi="Times New Roman" w:cs="Times New Roman"/>
                <w:sz w:val="24"/>
                <w:szCs w:val="24"/>
                <w:lang w:eastAsia="ru-RU"/>
              </w:rPr>
              <w:t>(розгорнуте сальдо)</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2.5.9</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виникнення заборгованості</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виникнення кредиторської заборгованості</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2.5.10</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Дебетовий оборот</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записів по дебету рахунку/субрахунку/аналітичного рахунку за період</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2.5.11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Кредитовий оборот</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записів по кредиту рахунку/субрахунку/аналітичного рахунку за період</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2.5.12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Кінцеве дебетове сальдо</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дебету рахунку/субрахунку/аналітичного рахунку на кінець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2.5.13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виникнення заборгованості</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виникнення дебіторської заборгованості</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2.5.14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Кінцеве кредитове сальдо</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коштів по кредиту рахунку/субрахунку/аналітичного рахунку на кінець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3 </w:t>
            </w:r>
            <w:r w:rsidRPr="00412C7E">
              <w:rPr>
                <w:rFonts w:ascii="Times New Roman" w:eastAsia="Times New Roman" w:hAnsi="Times New Roman" w:cs="Times New Roman"/>
                <w:sz w:val="24"/>
                <w:szCs w:val="24"/>
                <w:lang w:eastAsia="ru-RU"/>
              </w:rPr>
              <w:t>(розгорнуте сальдо)</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2.5.15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10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виникнення заборгованості</w:t>
            </w:r>
          </w:p>
        </w:tc>
        <w:tc>
          <w:tcPr>
            <w:tcW w:w="379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виникнення кредиторської заборгованості</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35" w:name="n105"/>
      <w:bookmarkEnd w:id="35"/>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підрозділі «Контрагенти» відображається інформація щодо контрагентів, з якими суб’єкт господарювання мав господарські відносини, із зазначенням сальдо розрахунків та розкриттям інформації, передбаченої таблицею цього підрозділу SAF-T UA.</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Якщо здійснюється роздрібний продаж без ідентифікації покупця - зазначається умовний код таких операцій, що застосовується.</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w:t>
      </w:r>
      <w:r w:rsidRPr="00412C7E">
        <w:rPr>
          <w:rFonts w:ascii="Times New Roman" w:eastAsia="Times New Roman" w:hAnsi="Times New Roman" w:cs="Times New Roman"/>
          <w:sz w:val="20"/>
          <w:szCs w:val="20"/>
          <w:lang w:eastAsia="ru-RU"/>
        </w:rPr>
        <w:t> Початок та кінець періоду, за який формується SAF-T UA, визначаються в запиті контролюючого органу.</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36" w:name="n106"/>
      <w:bookmarkEnd w:id="36"/>
      <w:r w:rsidRPr="00412C7E">
        <w:rPr>
          <w:rFonts w:ascii="Times New Roman" w:eastAsia="Times New Roman" w:hAnsi="Times New Roman" w:cs="Times New Roman"/>
          <w:b/>
          <w:bCs/>
          <w:sz w:val="28"/>
          <w:szCs w:val="28"/>
          <w:lang w:eastAsia="ru-RU"/>
        </w:rPr>
        <w:t>Підрозділ 2.6. Продукція (товари/роботи, послуги)</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72"/>
        <w:gridCol w:w="1762"/>
        <w:gridCol w:w="2273"/>
        <w:gridCol w:w="4278"/>
      </w:tblGrid>
      <w:tr w:rsidR="00412C7E" w:rsidRPr="00412C7E" w:rsidTr="00412C7E">
        <w:trPr>
          <w:trHeight w:val="165"/>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bookmarkStart w:id="37" w:name="n107"/>
            <w:bookmarkEnd w:id="37"/>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продукції (товару/роботи, послуги)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УКТ ЗЕД/ДКПП (за наявності) або унікальний ідентифікатор продукції (товару/роботи, послуги), який застосовується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Ідентифікатор категорії продукції (товару/роботи, послуги)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Індикатор, що дає можливість ідентифікувати продукцію на предмет чи продукція є товаром, або роботою, послугою</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Опис продукції (товару/роботи, послуги)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продукції (товару/роботи, послуги)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5880" w:type="dxa"/>
            <w:gridSpan w:val="2"/>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Бухгалтерський рахунок/субрахунок / аналітичний рахунок</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 xml:space="preserve">Номер рахунку/субрахунку / аналітичного рахунку відповідно до </w:t>
            </w:r>
            <w:r w:rsidRPr="00412C7E">
              <w:rPr>
                <w:rFonts w:ascii="Times New Roman" w:eastAsia="Times New Roman" w:hAnsi="Times New Roman" w:cs="Times New Roman"/>
                <w:sz w:val="24"/>
                <w:szCs w:val="24"/>
                <w:lang w:eastAsia="ru-RU"/>
              </w:rPr>
              <w:lastRenderedPageBreak/>
              <w:t>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2.6.5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Метод оцінки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Метод визначення вартості продукції (товару/роботи, послуги)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на початок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2.6.7.1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Кількість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Числова величина, визначена в одиницях виміру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2.6.7.2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Одиниця виміру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Фізична величина, визначена в одиницях виміру ваги, об’єму або інших натуральних показниках кількості продукції (товару/роботи, послуги), прийнята для їх кількісного відображення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2.6.7.3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 за одиницю продукції (товару/роботи, послуги)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2.6.7.4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загальної вартості продукції (товару/роботи, послуги)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2.6.7.5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на кінець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2.6.8.1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Кількість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Числова величина, визначена в одиницях виміру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2.6.8.2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Одиниця виміру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Фізична величина, визначена в одиницях виміру ваги, об’єму або інших натуральних показниках кількості продукції (товару/роботи, послуги), прийнята для їх кількісного відображення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2.6.8.3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 за одиницю продукції (товару/роботи, послуги)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2.6.8.4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 xml:space="preserve">Грошова оцінка загальної вартості </w:t>
            </w:r>
            <w:r w:rsidRPr="00412C7E">
              <w:rPr>
                <w:rFonts w:ascii="Times New Roman" w:eastAsia="Times New Roman" w:hAnsi="Times New Roman" w:cs="Times New Roman"/>
                <w:sz w:val="24"/>
                <w:szCs w:val="24"/>
                <w:lang w:eastAsia="ru-RU"/>
              </w:rPr>
              <w:lastRenderedPageBreak/>
              <w:t>продукції (товару/роботи, послуги)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2.6.8.5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38" w:name="n108"/>
      <w:bookmarkEnd w:id="38"/>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підрозділі «Продукція (товари/роботи, послуги)» відображається інформація щодо характеристики продукції (товару/роботи, послуги) (опис виробничого процесу, властивості і призначення для використання (господарська/негосподарська діяльність), що вироблені/отримані/реалізовані суб’єктом господарювання з обов’язковим зазначенням методу оцінки, номерів і назв рахунків/субрахунків / аналітичних рахунків, на яких обліковується цей вид продукції (товару/роботи, послуги), їх кількості, одиниці вимірювання, ціни та вартості, на початок та на кінець періоду, за який формується SAF-T UA.</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Початок та кінець періоду, за який формується SAF-T UA, визначаються в запиті контролюючого органу.</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39" w:name="n109"/>
      <w:bookmarkEnd w:id="39"/>
      <w:r w:rsidRPr="00412C7E">
        <w:rPr>
          <w:rFonts w:ascii="Times New Roman" w:eastAsia="Times New Roman" w:hAnsi="Times New Roman" w:cs="Times New Roman"/>
          <w:b/>
          <w:bCs/>
          <w:sz w:val="28"/>
          <w:szCs w:val="28"/>
          <w:lang w:eastAsia="ru-RU"/>
        </w:rPr>
        <w:t>Підрозділ 2.7. Запаси</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72"/>
        <w:gridCol w:w="1762"/>
        <w:gridCol w:w="2273"/>
        <w:gridCol w:w="4278"/>
      </w:tblGrid>
      <w:tr w:rsidR="00412C7E" w:rsidRPr="00412C7E" w:rsidTr="00412C7E">
        <w:trPr>
          <w:trHeight w:val="165"/>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bookmarkStart w:id="40" w:name="n110"/>
            <w:bookmarkEnd w:id="40"/>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запасу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УКТ ЗЕД (за наявності) або інший унікальний ідентифікатор запасу, визначений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Опис запасу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запасу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складу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Ідентифікатор складу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Метод оцінки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Метод визначення вартості при вибутті (списанні) запасу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на початок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2.7.7.1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Кількість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Числова величина, визначена в одиницях виміру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2.7.7.2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Одиниця виміру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Фізична величина, визначена в одиницях виміру ваги, об’єму, або інших натуральних показниках кількості продукції (товару/роботи, послуги), прийнята для їх кількісного відображення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2.7.7.3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 за одиницю запасу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2.7.7.4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загальної вартості запасу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2.7.7.5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Залишок на кінець періоду</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2.7.8.1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Кількість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Числова величина, визначена в одиницях виміру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2.7.8.2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Одиниця виміру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Фізична величина, визначена в одиницях виміру ваги, об’єму або інших натуральних показниках кількості продукції (товару/роботи, послуги), прийнята для їх кількісного відображення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2.7.8.3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 за одиницю запасу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2.7.8.4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загальної вартості запасу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2.7.8.5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41" w:name="n111"/>
      <w:bookmarkEnd w:id="41"/>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підрозділі «Запаси» відображається інформація про матеріальні цінності (відмінні від основної продукції), що очікують вступу у процес виробничого або особистого споживання з обов’язковим зазначенням методу оцінки, номерів і назв рахунків/субрахунків, на яких вони обліковуються, їх кількості, ціни та вартості, на початок та на кінець періоду, за який формується SAF-T UA.</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Початок та кінець періоду, за який формується SAF-T UA, визначаються в запиті контролюючого органу.</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42" w:name="n112"/>
      <w:bookmarkEnd w:id="42"/>
      <w:r w:rsidRPr="00412C7E">
        <w:rPr>
          <w:rFonts w:ascii="Times New Roman" w:eastAsia="Times New Roman" w:hAnsi="Times New Roman" w:cs="Times New Roman"/>
          <w:b/>
          <w:bCs/>
          <w:sz w:val="28"/>
          <w:szCs w:val="28"/>
          <w:lang w:eastAsia="ru-RU"/>
        </w:rPr>
        <w:t>Підрозділ 2.8. Необоротні активи</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22"/>
        <w:gridCol w:w="1680"/>
        <w:gridCol w:w="2604"/>
        <w:gridCol w:w="4079"/>
      </w:tblGrid>
      <w:tr w:rsidR="00412C7E" w:rsidRPr="00412C7E" w:rsidTr="00412C7E">
        <w:trPr>
          <w:trHeight w:val="165"/>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bookmarkStart w:id="43" w:name="n113"/>
            <w:bookmarkEnd w:id="43"/>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активу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УКТ ЗЕД (за наявності) або унікальний ідентифікатор активу, визначений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Опис активу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активу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2.8.4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ЄДРПОУ/РНОКПП постачальника/покупця</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ідентифікаційний номер юридичної особи в Єдиному державному реєстрі підприємств та організацій України / Реєстраційний номер облікової картки платника податків фізичної особи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придбання</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оприбуткування активу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початку роботи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введення в експлуатацію</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виведення з експлуатації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виведення з експлуатації, у т. ч. у зв’язку з консервацією або переведенням до складу активів, які призначаються для продажу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2.8.9</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Група відповідно до облікової політики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Група, до якої належить актив відповідно до облікової політики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2.8.10</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Група відповідно до ПКУ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Група, до якої належить актив згідно з Податковим кодексом України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Строк корисного використання (експлуатації)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Очікуваний період часу, протягом якого актив буде використовуватися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2.8.12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Первісна вартість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Загальні витрати на придбання та/або виготовлення активу</w:t>
            </w:r>
            <w:r w:rsidRPr="00412C7E">
              <w:rPr>
                <w:rFonts w:ascii="Times New Roman" w:eastAsia="Times New Roman" w:hAnsi="Times New Roman" w:cs="Times New Roman"/>
                <w:sz w:val="24"/>
                <w:szCs w:val="24"/>
                <w:lang w:eastAsia="ru-RU"/>
              </w:rPr>
              <w:br/>
              <w:t>Вартість активу як внеску до статутного капіталу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2.8.13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Транспортно-заготівельні витрати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Витрати на транспортування та доведення активу до стану, придатного до експлуатації</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2.8.14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Балансова вартість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за якою актив обліковується у балансі</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2.8.15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вибуття</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вибуття активу (продажу, ліквідації, внеску до статутного капіталу іншого підприємства тощо)</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2.8.16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Метод амортизації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Метод нарахування амортизації активу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2.8.17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Норма амортизації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Встановлений річний (квартальний) відсоток відшкодування вартості зношення частини активу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2.8.18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Амортизація за період</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амортизації за звітний період</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2.8.19</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Накопичена амортизація</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Загальна сума амортизації, нарахованої протягом строку використання активу, відображена у періоді, за який формується SAF-T UA</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2.8.20</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Активи, на які не нараховується амортизація</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Перелік активів, на які у звітному періоді не нараховувалась амортизація з урахуванням норм законодавства (інвестиційна нерухомість, земля)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Вартість активів, на які не нараховується амортизація</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Вартість активів, на які у звітному періоді не нараховувалась амортизація з урахуванням норм законодавства (інвестиційна нерухомість, земля)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2.8.22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Переоцінка активу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2.8.22.1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Метод дооцінки/уцінки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Спосіб проведення переоцінки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2.8.22.2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дооцінки/уцінки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збільшення/зменшення вартості активу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2.8.22.3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2.8.23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Справедлива вартість активу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Зазначається для інвестиційної нерухомості, а також для інших видів активів, по яких визначається справедлива вартість (наприклад, при переоцінці, внесенні до статутного капіталу, по нематеріальних активах)</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2.8.24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Ліквідаційна вартість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Вартість матеріальних цінностей, отриманих у результаті ліквідації активу</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44" w:name="n114"/>
      <w:bookmarkEnd w:id="44"/>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xml:space="preserve"> У підрозділі «Необоротні активи» відображається інформація щодо обліку основних фондів, які належать суб’єкту господарювання або закріплюються за ним на праві господарського відання чи праві оперативного управління та забезпечують провадження (функціонування) його основної діяльності та строк корисної експлуатації яких становить більше одного року або операційного циклу, якщо він більший ніж рік, а також нематеріальних активів. При цьому зазначається опис активу, на якому рахунку/субрахунку обліковує суб’єкт господарювання актив, строк його корисності, балансова, залишкова, ліквідаційна вартість та інші показники по кожному окремому активу із обов’язковим відображенням всіх бухгалтерських проведень, пов’язаних з цим активом, а також з розкриттям інформації відповідно до таблиці цього підрозділу SAF-T </w:t>
      </w:r>
      <w:r w:rsidRPr="00412C7E">
        <w:rPr>
          <w:rFonts w:ascii="Times New Roman" w:eastAsia="Times New Roman" w:hAnsi="Times New Roman" w:cs="Times New Roman"/>
          <w:sz w:val="20"/>
          <w:szCs w:val="20"/>
          <w:lang w:eastAsia="ru-RU"/>
        </w:rPr>
        <w:lastRenderedPageBreak/>
        <w:t>UA. Зазначені дані відображаються в розрізі окремого кожного необоротного активу.</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Звітним періодом вважається період діяльності суб’єкта господарювання, за який формується SAF-T UA.</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45" w:name="n115"/>
      <w:bookmarkEnd w:id="45"/>
      <w:r w:rsidRPr="00412C7E">
        <w:rPr>
          <w:rFonts w:ascii="Times New Roman" w:eastAsia="Times New Roman" w:hAnsi="Times New Roman" w:cs="Times New Roman"/>
          <w:b/>
          <w:bCs/>
          <w:sz w:val="28"/>
          <w:szCs w:val="28"/>
          <w:lang w:eastAsia="ru-RU"/>
        </w:rPr>
        <w:t>Розділ III. Журнал бухгалтерських записів</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46" w:name="n116"/>
      <w:bookmarkEnd w:id="46"/>
      <w:r w:rsidRPr="00412C7E">
        <w:rPr>
          <w:rFonts w:ascii="Times New Roman" w:eastAsia="Times New Roman" w:hAnsi="Times New Roman" w:cs="Times New Roman"/>
          <w:b/>
          <w:bCs/>
          <w:sz w:val="28"/>
          <w:szCs w:val="28"/>
          <w:lang w:eastAsia="ru-RU"/>
        </w:rPr>
        <w:t>Підрозділ 3.1. Бухгалтерські операції</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97"/>
        <w:gridCol w:w="1753"/>
        <w:gridCol w:w="2279"/>
        <w:gridCol w:w="4256"/>
      </w:tblGrid>
      <w:tr w:rsidR="00412C7E" w:rsidRPr="00412C7E" w:rsidTr="00412C7E">
        <w:trPr>
          <w:trHeight w:val="165"/>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bookmarkStart w:id="47" w:name="n117"/>
            <w:bookmarkEnd w:id="47"/>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операції, визначений автоматизованим програмним забезпеченням, яке використовується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здійснення операції</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документа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первинного документа бухгалтерського обліку, яким суб’єктом господарювання оформлено операцію</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Тип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Умовне позначення операції відповідно до пункту 2.2 розділу ІІ цього додатка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Обліковий період</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Звітний період, до якого належить операція</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облікового запису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якою здійснюється суб’єктом господарювання обліковий запис у бухгалтерському обліку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Системна дата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Фактична дата внесення інформації, зафіксована системою</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ЄДРПОУ/РНОКПП контрагента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ідентифікаційний номер юридичної особи в Єдиному державному реєстрі підприємств та організацій України / Реєстраційний номер облікової картки платника податків фізичної особи (якщо здійснюється роздрібний продаж без ідентифікації покупця - зазначається умовний код таких операцій, що застосовується)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3.1.9</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(прізвище, ім’я та по батькові (за наявності)) контрагента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(прізвище, ім’я та по батькові (за наявності)) контрагента (якщо здійснюється роздрібний продаж без ідентифікації покупця - зазначається «кінцевий споживач»)</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3.1.10</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без податку на додану вартість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вартості продукту за вирахуванням податку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Податок на додану вартість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величини податку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3.1.12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всього</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загальної вартості продукту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3.1.13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3.1.14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Кореспондуючі рахунки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Рахунки, що використовуються для відображення господарської операції шляхом подвійного запису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3.1.14.1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Дебет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Ліва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3.1.14.1.1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суб’єктів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3.1.14.2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Кредит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Права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3.1.14.2.1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3.1.15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господарської операції</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3.1.16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3.1.17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Додаткові елементи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Заповнюються за необхідності</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48" w:name="n118"/>
      <w:bookmarkEnd w:id="48"/>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підрозділі «Бухгалтерські операції» розкривається інформація щодо бухгалтерських проведень суб’єкта господарювання в розрізі кожної окремої господарської операції з деталізацією здійсненої операції, із зазначенням її типу, суми, інформації щодо унікального ідентифікаційного номеру контрагента юридичної (фізичної) особи (у разі, якщо операція здійснюється з контрагентом) та розкривається дані про бухгалтерські проведення по цій операції, а також інша інформація відповідно до таблиці цього підрозділу SAF-T UA в розрізі кожного бухгалтерського проведення.</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Звітним періодом вважається період діяльності суб’єкта господарювання, за який формується SAF-T UA.</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w:t>
      </w:r>
      <w:r w:rsidRPr="00412C7E">
        <w:rPr>
          <w:rFonts w:ascii="Times New Roman" w:eastAsia="Times New Roman" w:hAnsi="Times New Roman" w:cs="Times New Roman"/>
          <w:sz w:val="20"/>
          <w:szCs w:val="20"/>
          <w:lang w:eastAsia="ru-RU"/>
        </w:rPr>
        <w:t> Заповнюється у разі, якщо суб’єкт господарювання вважає, що у зв’язку зі специфікою ведення бухгалтерського обліку та/або особливостями роботи автоматизованого програмного забезпечення, яке використовується суб’єктом господарювання, доцільно внести додаткові елементи обліку та дані, які забезпечать більш повне та достовірне відображення інформації щодо обліку доходів, витрат, фінансового результату та інших показників, пов’язаних із визначенням об’єктів оподаткування, повнотою та своєчасністю сплати податків.</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49" w:name="n119"/>
      <w:bookmarkEnd w:id="49"/>
      <w:r w:rsidRPr="00412C7E">
        <w:rPr>
          <w:rFonts w:ascii="Times New Roman" w:eastAsia="Times New Roman" w:hAnsi="Times New Roman" w:cs="Times New Roman"/>
          <w:b/>
          <w:bCs/>
          <w:sz w:val="28"/>
          <w:szCs w:val="28"/>
          <w:lang w:eastAsia="ru-RU"/>
        </w:rPr>
        <w:t>Розділ IV. Інформація про документальне забезпечення</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8"/>
          <w:szCs w:val="28"/>
          <w:lang w:eastAsia="ru-RU"/>
        </w:rPr>
        <w:t>записів бухгалтерського обліку</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50" w:name="n120"/>
      <w:bookmarkEnd w:id="50"/>
      <w:r w:rsidRPr="00412C7E">
        <w:rPr>
          <w:rFonts w:ascii="Times New Roman" w:eastAsia="Times New Roman" w:hAnsi="Times New Roman" w:cs="Times New Roman"/>
          <w:b/>
          <w:bCs/>
          <w:sz w:val="28"/>
          <w:szCs w:val="28"/>
          <w:lang w:eastAsia="ru-RU"/>
        </w:rPr>
        <w:lastRenderedPageBreak/>
        <w:t>Підрозділ 4.1. Відомості про продаж</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97"/>
        <w:gridCol w:w="1753"/>
        <w:gridCol w:w="2279"/>
        <w:gridCol w:w="4256"/>
      </w:tblGrid>
      <w:tr w:rsidR="00412C7E" w:rsidRPr="00412C7E" w:rsidTr="00412C7E">
        <w:trPr>
          <w:trHeight w:val="165"/>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bookmarkStart w:id="51" w:name="n121"/>
            <w:bookmarkEnd w:id="51"/>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операції, визначений автоматизованим програмним забезпеченням, яке використовується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Вид документа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первинного документа (договори з додатковими угодами і специфікаціями до нього, рахунок фактура, видаткова накладна, рахунки фактури, платіжні доручення, сертифікати тощо)</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документа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документа, визначений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здійснення операції</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Тип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Умовне позначення операції, відповідно до довідника операцій</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ЄДРПОУ/РНОКПП покупця</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ідентифікаційний номер юридичної особи в Єдиному державному реєстрі підприємств та організацій України / Реєстраційний номер облікової картки платника податків фізичної особи (якщо здійснюється роздрібний продаж без ідентифікації покупця - зазначається умовний код таких операцій, що застосовується)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 прізвище, ім’я та по батькові (за наявності)</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 прізвище, ім’я та по батькові (за наявності) покупця (якщо здійснюється роздрібний продаж без ідентифікації покупця - зазначається «кінцевий споживач»)</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 бухгалтерського обліку суб’єкта господарювання, по якому здійснюються операції з цим контрагентом (покупцем / отримувачем платежу)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4.1.9</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 xml:space="preserve">Назва рахунку бухгалтерського обліку суб’єкта господарювання, по якому </w:t>
            </w:r>
            <w:r w:rsidRPr="00412C7E">
              <w:rPr>
                <w:rFonts w:ascii="Times New Roman" w:eastAsia="Times New Roman" w:hAnsi="Times New Roman" w:cs="Times New Roman"/>
                <w:sz w:val="24"/>
                <w:szCs w:val="24"/>
                <w:lang w:eastAsia="ru-RU"/>
              </w:rPr>
              <w:lastRenderedPageBreak/>
              <w:t>здійснюються операції з цим контрагентом (покупцем / отримувачем платежу)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4.1.10</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Джерело</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Посилання на договір, усну домовленість тощо</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продукції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товару, роботи та послуги (код УКТ ЗЕД, код відповідно до Державного класифікатора продукції та послуг ДК 016:2010 або інший унікальний ідентифікатор, визначений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Опис продукції (товару/роботи, послуги)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продукції (товару/роботи, послуги)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Кількість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Числова величина, визначена в одиницях виміру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4.1.12.2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Одиниця виміру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Фізична величина, визначена в одиницях виміру ваги, об’єму або інших натуральних показниках кількості продукції (товару/роботи, послуги), прийнята для їх кількісного відображення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4.1.12.3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 за одиницю продукції (товару/робіт/послуг)</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Кореспондуючі рахунки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Рахунки, що використовуються для відображення господарської операції шляхом подвійного запису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4.1.13.1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Дебет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Ліва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4.1.13.1.1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 / 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4.1.13.2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Кредит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Права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4.1.13.2.1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 / 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4.1.14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без податку на додану вартість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вартості продукту за вирахуванням податку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Акцизний податок</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величини податку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Податок на додану вартість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величини податку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загальної вартості продукції (товару/роботи, послуги)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4.1.18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52" w:name="n122"/>
      <w:bookmarkEnd w:id="52"/>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підрозділі «Відомості про продаж» на підставі первинних документів зазначається інформація щодо фактичних обсягів реалізованих матеріальних цінностей, робіт та послуг, їх кількості та вартості, в розрізі господарських операцій з продажу (з розкриттям інформації відповідно до таблиці цього підрозділу SAF-T UA). Початок та кінець періоду, за який формується SAF-T UA, визначаються в запиті контролюючого органу.</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При наведенні типу операцій зазначається умовне позначення операції відповідно до Довідника операцій (підрозділ 2.2 розділу 2 SAF-T UA) з обов’язковим наведенням додаткової ознаки з урахуванням того, яка подія відбулася раніше (отримання коштів (додаткова ознака при умовному позначенні операції - «С»), або постачання товарів, робіт/послуг (додаткова ознака при умовному позначенні операції - «П»)).</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53" w:name="n123"/>
      <w:bookmarkEnd w:id="53"/>
      <w:r w:rsidRPr="00412C7E">
        <w:rPr>
          <w:rFonts w:ascii="Times New Roman" w:eastAsia="Times New Roman" w:hAnsi="Times New Roman" w:cs="Times New Roman"/>
          <w:b/>
          <w:bCs/>
          <w:sz w:val="28"/>
          <w:szCs w:val="28"/>
          <w:lang w:eastAsia="ru-RU"/>
        </w:rPr>
        <w:t>Підрозділ 4.2. Відомості про придбання/закупівлю</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97"/>
        <w:gridCol w:w="1753"/>
        <w:gridCol w:w="2279"/>
        <w:gridCol w:w="4256"/>
      </w:tblGrid>
      <w:tr w:rsidR="00412C7E" w:rsidRPr="00412C7E" w:rsidTr="00412C7E">
        <w:trPr>
          <w:trHeight w:val="165"/>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bookmarkStart w:id="54" w:name="n124"/>
            <w:bookmarkEnd w:id="54"/>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операції, визначений автоматизованим програмним забезпеченням, яке використовується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Вид документа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первинного документа (договори з додатковими угодами і специфікаціями до нього, рахунок фактура, прибуткова накладна, рахунки фактури, платіжні доручення, сертифікати тощо)</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документа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документа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здійснення операції</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Тип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Умовне позначення операції відповідно до довідника операцій</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ЄДРПОУ/РНОКПП продавця</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 xml:space="preserve">Унікальний ідентифікаційний номер юридичної особи в Єдиному державному реєстрі підприємств та </w:t>
            </w:r>
            <w:r w:rsidRPr="00412C7E">
              <w:rPr>
                <w:rFonts w:ascii="Times New Roman" w:eastAsia="Times New Roman" w:hAnsi="Times New Roman" w:cs="Times New Roman"/>
                <w:sz w:val="24"/>
                <w:szCs w:val="24"/>
                <w:lang w:eastAsia="ru-RU"/>
              </w:rPr>
              <w:lastRenderedPageBreak/>
              <w:t>організацій України / Реєстраційний номер облікової картки платника податків фізичної особи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4.2.7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 прізвище, ім’я та по батькові (за наявності)</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 прізвище, ім’я та по батькові (за наявності) продавця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 бухгалтерського обліку суб’єкта господарювання, по якому здійснюються операції з цим контрагентом (продавцем / отримувачем платежу)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4.2.9</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 бухгалтерського обліку суб’єкта господарювання, по якому здійснюються операції з цим контрагентом (продавцем / отримувачем платежу)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4.2.10</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Джерело</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Посилання на договір, рахунок, усну домовленість тощо</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продукції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товару, роботи та послуги (код УКТ ЗЕД, код відповідно до Державного класифікатора продукції та послуг ДК 016:2010 або інший унікальний ідентифікатор, визначений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Опис продукції (товару/роботи, послуги)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продукції (товару/роботи, послуги)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Кількість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Числова величина, визначена в одиницях виміру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4.2.12.2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Одиниця виміру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Фізична величина, визначена в одиницях виміру ваги, об’єму або інших натуральних показниках кількості продукції (товару/роботи, послуги), прийнята для їх кількісного відображення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4.2.12.3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 за одиницю продукції (товару/робіт/послуг)</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 xml:space="preserve">Кореспондуючі </w:t>
            </w:r>
            <w:r w:rsidRPr="00412C7E">
              <w:rPr>
                <w:rFonts w:ascii="Times New Roman" w:eastAsia="Times New Roman" w:hAnsi="Times New Roman" w:cs="Times New Roman"/>
                <w:sz w:val="24"/>
                <w:szCs w:val="24"/>
                <w:lang w:eastAsia="ru-RU"/>
              </w:rPr>
              <w:lastRenderedPageBreak/>
              <w:t>рахунки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 xml:space="preserve">Рахунки, що використовуються для </w:t>
            </w:r>
            <w:r w:rsidRPr="00412C7E">
              <w:rPr>
                <w:rFonts w:ascii="Times New Roman" w:eastAsia="Times New Roman" w:hAnsi="Times New Roman" w:cs="Times New Roman"/>
                <w:sz w:val="24"/>
                <w:szCs w:val="24"/>
                <w:lang w:eastAsia="ru-RU"/>
              </w:rPr>
              <w:lastRenderedPageBreak/>
              <w:t>відображення господарської операції шляхом подвійного запису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4.2.13.1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Дебет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Ліва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4.2.13.1.1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4.2.13.2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Кредит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Права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4.2.13.2.1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без податку на додану вартість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вартості продукту за вирахуванням податку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Податок на додану вартість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величини податку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загальної вартості продукції (товару/роботи, послуги)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4.2.17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55" w:name="n125"/>
      <w:bookmarkEnd w:id="55"/>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підрозділі «Відомості про придбання/закупівлю» на підставі первинних документів зазначається інформація щодо фактичних обсягів придбаних матеріальних цінностей, робіт та послуг, їх кількості та вартості, в розрізі господарських операцій з придбання/закупівлі (з розкриттям інформації відповідно до таблиці цього підрозділу SAF-T UA). Початок та кінець періоду, за який формується SAF-T UA, визначаються в запиті контролюючого органу.</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При наведенні типу операцій зазначається умовне позначення операції відповідно до Довідника операцій (підрозділ 2.2 розділу 2 SAF-T UA) з обов’язковим наведенням додаткової ознаки з урахуванням того, яка подія відбулася раніше (перерахування коштів (додаткова ознака при умовному позначенні операції - «С»), або отримання товарів, робіт/послуг (додаткова ознака при умовному позначенні операції - «П»)).</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56" w:name="n126"/>
      <w:bookmarkEnd w:id="56"/>
      <w:r w:rsidRPr="00412C7E">
        <w:rPr>
          <w:rFonts w:ascii="Times New Roman" w:eastAsia="Times New Roman" w:hAnsi="Times New Roman" w:cs="Times New Roman"/>
          <w:b/>
          <w:bCs/>
          <w:sz w:val="28"/>
          <w:szCs w:val="28"/>
          <w:lang w:eastAsia="ru-RU"/>
        </w:rPr>
        <w:t>Підрозділ 4.3. Відомості про платежі, не пов’язані з продажем/придбанням товарів, робіт та послуг</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97"/>
        <w:gridCol w:w="1753"/>
        <w:gridCol w:w="2279"/>
        <w:gridCol w:w="4256"/>
      </w:tblGrid>
      <w:tr w:rsidR="00412C7E" w:rsidRPr="00412C7E" w:rsidTr="00412C7E">
        <w:trPr>
          <w:trHeight w:val="165"/>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bookmarkStart w:id="57" w:name="n127"/>
            <w:bookmarkEnd w:id="57"/>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операції, визначений автоматизованим програмним забезпеченням, яке використовується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4.3.2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документа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документа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оформлення документа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документа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документа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всього</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загальної вартості продукту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ЄДРПОУ/РНОКПП</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ідентифікаційний номер юридичної особи в Єдиному державному реєстрі підприємств та організацій України / реєстраційний номер облікової картки платника податків фізичної особи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платника/прізвище, ім’я та по батькові (за наявності)</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платника / прізвище, ім’я та по батькові (за наявності)</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4.3.9</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 бухгалтерського обліку суб’єкта господарювання, по якому здійснюються операції з цим контрагентом (отримувачем/надавачем платежу)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4.3.10</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 бухгалтерського обліку суб’єкта господарювання, по якому здійснюються операції з цим контрагентом (отримувачем/надавачем платежу)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Спосіб оплати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Спосіб перерахування коштів</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4.3.12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валютування</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реального зарахування/списання коштів</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4.3.13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Призначення платежу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Посилання на документ, на підставі якого здійснюється транзакція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4.3.14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Вид платежу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Інформація, що деталізує платіж</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4.3.15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Коди бюджетних платежів</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 разі перерахування коштів до бюджету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4.3.16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Кореспондуючі рахунки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Рахунки, що використовуються для відображення господарської операції шляхом подвійного запису</w:t>
            </w:r>
          </w:p>
        </w:tc>
      </w:tr>
      <w:tr w:rsidR="00412C7E" w:rsidRPr="00412C7E" w:rsidTr="00412C7E">
        <w:trPr>
          <w:trHeight w:val="270"/>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4.3.16.1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Дебет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Ліва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4.3.16.1.1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4.3.16.2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Кредит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Права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4.3.16.2.1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4.3.17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Загальна сума операції</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4.3.18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58" w:name="n128"/>
      <w:bookmarkEnd w:id="58"/>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підрозділі «Відомості про платежі, не пов’язані з продажем/придбанням товарів, робіт та послуг» на підставі первинних документів зазначається інформація щодо отриманих/перерахованих грошових коштів суб’єкта господарювання за операціями, що не пов’язані з продажем/придбанням товарів, робіт та послуг з наведенням способів оплати, кореспондуючих рахунків та іншої інформації щодо характеристики проведених розрахунків в розрізі платежів (з розкриттям інформації відповідно до таблиці цього підрозділу SAF-T UA).</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sz w:val="20"/>
          <w:szCs w:val="20"/>
          <w:lang w:eastAsia="ru-RU"/>
        </w:rPr>
        <w:t>Початок та кінець періоду, за який формується SAF-T UA, визначаються в запиті контролюючого органу.</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59" w:name="n129"/>
      <w:bookmarkEnd w:id="59"/>
      <w:r w:rsidRPr="00412C7E">
        <w:rPr>
          <w:rFonts w:ascii="Times New Roman" w:eastAsia="Times New Roman" w:hAnsi="Times New Roman" w:cs="Times New Roman"/>
          <w:b/>
          <w:bCs/>
          <w:sz w:val="28"/>
          <w:szCs w:val="28"/>
          <w:lang w:eastAsia="ru-RU"/>
        </w:rPr>
        <w:t>Підрозділ 4.4. Операції із запасами</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62"/>
        <w:gridCol w:w="1696"/>
        <w:gridCol w:w="2510"/>
        <w:gridCol w:w="4117"/>
      </w:tblGrid>
      <w:tr w:rsidR="00412C7E" w:rsidRPr="00412C7E" w:rsidTr="00412C7E">
        <w:trPr>
          <w:trHeight w:val="165"/>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bookmarkStart w:id="60" w:name="n130"/>
            <w:bookmarkEnd w:id="60"/>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операції, визначений автоматизованим програмним забезпеченням, яке використовується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здійснення операції</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документа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первинного документа бухгалтерського обліку суб’єкта господарювання, яким оформлено операцію</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 xml:space="preserve">Код ЄДРПОУ/РНОКПП </w:t>
            </w:r>
            <w:r w:rsidRPr="00412C7E">
              <w:rPr>
                <w:rFonts w:ascii="Times New Roman" w:eastAsia="Times New Roman" w:hAnsi="Times New Roman" w:cs="Times New Roman"/>
                <w:sz w:val="24"/>
                <w:szCs w:val="24"/>
                <w:lang w:eastAsia="ru-RU"/>
              </w:rPr>
              <w:lastRenderedPageBreak/>
              <w:t>контрагента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 xml:space="preserve">Унікальний ідентифікаційний номер юридичної особи в Єдиному </w:t>
            </w:r>
            <w:r w:rsidRPr="00412C7E">
              <w:rPr>
                <w:rFonts w:ascii="Times New Roman" w:eastAsia="Times New Roman" w:hAnsi="Times New Roman" w:cs="Times New Roman"/>
                <w:sz w:val="24"/>
                <w:szCs w:val="24"/>
                <w:lang w:eastAsia="ru-RU"/>
              </w:rPr>
              <w:lastRenderedPageBreak/>
              <w:t>державному реєстрі підприємств та організацій України / Реєстраційний номер облікової картки платника податків фізичної особи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4.4.5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контрагента/прізвище, ім’я та по батькові (за наявності)</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контрагента / прізвище, ім’я та по батькові (за наявності)</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запасу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УКТ ЗЕД (за наявності) або інший унікальний ідентифікатор запасу, визначений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4.4.9</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Опис запасу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запасу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4.4.10</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Надходження за період</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4.4.10.1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Кількість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Числова величина, визначена в одиницях виміру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4.4.10.2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Одиниця виміру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Фізична величина, визначена в одиницях виміру ваги, об’єму або інших натуральних показниках кількості продукції (товару/роботи, послуги), прийнята для їх кількісного відображення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4.4.10.3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 за одиницю запасу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4.4.10.4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загальної вартості запасу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4.4.10.5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Списання за період</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r>
      <w:tr w:rsidR="00412C7E" w:rsidRPr="00412C7E" w:rsidTr="00412C7E">
        <w:trPr>
          <w:trHeight w:val="25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Кількість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Числова величина, визначена в одиницях виміру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4.4.11.2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Одиниця виміру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Фізична величина, визначена в одиницях виміру ваги, об’єму або інших натуральних показниках кількості продукції (товару/роботи, послуги), прийнята для їх кількісного відображення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4.4.11.3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Ціна за одиницю запасу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4.4.11.4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загальної вартості запасу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4.4.11.5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Кореспондуючі рахунки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Рахунки, що використовуються для відображення господарської операції шляхом подвійного запису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Дебет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Ліва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4.4.12.1.1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4.4.12.2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Кредит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Права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4.4.12.2.1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господарської операції</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4.4.14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61" w:name="n131"/>
      <w:bookmarkEnd w:id="61"/>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підрозділі «Операції із запасами» на підставі первинних документів зазначається інформація в розрізі операцій, проведених з матеріальними цінностями (відмінними від основної продукції), що очікують вступу у процес виробничого або особистого споживання з обов’язковим зазначенням методу оцінки, номерів і назв рахунків/субрахунків, на яких вони обліковуються, їх кількості, ціни та вартості, а також з розкриттям іншої інформації відповідно до таблиці цього підрозділу SAF-T UA.</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Для цілей заповнення цього підрозділу періодом слід вважати період, який визначається в запиті контролюючого органу, та за який формується SAF-T UA.</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62" w:name="n132"/>
      <w:bookmarkEnd w:id="62"/>
      <w:r w:rsidRPr="00412C7E">
        <w:rPr>
          <w:rFonts w:ascii="Times New Roman" w:eastAsia="Times New Roman" w:hAnsi="Times New Roman" w:cs="Times New Roman"/>
          <w:b/>
          <w:bCs/>
          <w:sz w:val="28"/>
          <w:szCs w:val="28"/>
          <w:lang w:eastAsia="ru-RU"/>
        </w:rPr>
        <w:t>Підрозділ 4.5. Операції з необоротними активами</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62"/>
        <w:gridCol w:w="1696"/>
        <w:gridCol w:w="2510"/>
        <w:gridCol w:w="4117"/>
      </w:tblGrid>
      <w:tr w:rsidR="00412C7E" w:rsidRPr="00412C7E" w:rsidTr="00412C7E">
        <w:trPr>
          <w:trHeight w:val="165"/>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bookmarkStart w:id="63" w:name="n133"/>
            <w:bookmarkEnd w:id="63"/>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4.5.1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активу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Інвентарний номер або інший унікальний ідентифікатор активу, що застосовується суб’єктом господарювання в бухгалтерському обліку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Опис активу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активу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Тип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Умовне позначення операції, відповідно до довідника операцій</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здійснення операції</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документа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первинного документа бухгалтерського обліку, яким суб’єкт господарювання оформив операцію</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ЄДРПОУ/РНОКПП контрагента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ідентифікаційний номер юридичної особи в Єдиному державному реєстрі підприємств та організацій України / реєстраційний номер облікової картки платника податків фізичної особи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4.5.9</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контрагента/прізвище, ім’я та по батькові (за наявності)</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Найменування контрагента / прізвище, ім’я та по батькові (за наявності)</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4.5.10</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Кореспондуючі рахунки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Рахунки, що використовуються для відображення господарської операції шляхом подвійного запису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4.5.10.1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Дебет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Ліва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4.5.10.1.1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4.5.10.2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Кредит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Права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4.5.10.2.1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без податку на додану вартість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вартості продукту за вирахуванням податку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4.5.12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Податок на додану вартість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величини податку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4.5.13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загальної вартості продукції (товару/роботи, послуги)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4.5.14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64" w:name="n134"/>
      <w:bookmarkEnd w:id="64"/>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підрозділі «Операції з необоротними активами» відображається інформація в розрізі господарських операцій з нематеріальними активами суб’єкта господарювання (крім операцій, що відображені у підрозділі 2.9 цього файлу), з наведенням опису такого активу, кореспондуючих рахунків/субрахунків, по яких здійснено проведення, контр-агентів та розкриттям іншої інформації відповідно до таблиці цього підрозділу SAF-T UA. Така інформація наводиться за період діяльності суб’єкта господарювання, за який формується SAF-T UA.</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При наведенні типу операцій зазначається умовне позначення операції відповідно до Довідника операцій (підрозділ 2.2 розділу 2 SAF-T UA) з обов’язковим наведенням додаткової ознаки з урахуванням того, яка подія відбулася раніше (перерахування/отримання коштів (додаткова ознака при умовному позначенні операції - «С»), або отримання/постачання нематеріальних активів (додаткова ознака при умовному позначенні операції - «П»)).</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65" w:name="n135"/>
      <w:bookmarkEnd w:id="65"/>
      <w:r w:rsidRPr="00412C7E">
        <w:rPr>
          <w:rFonts w:ascii="Times New Roman" w:eastAsia="Times New Roman" w:hAnsi="Times New Roman" w:cs="Times New Roman"/>
          <w:b/>
          <w:bCs/>
          <w:sz w:val="28"/>
          <w:szCs w:val="28"/>
          <w:lang w:eastAsia="ru-RU"/>
        </w:rPr>
        <w:t>Підрозділ 4.6. Інформація про бухгалтерські довідки та інші первинні документи</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072"/>
        <w:gridCol w:w="1762"/>
        <w:gridCol w:w="2273"/>
        <w:gridCol w:w="4278"/>
      </w:tblGrid>
      <w:tr w:rsidR="00412C7E" w:rsidRPr="00412C7E" w:rsidTr="00412C7E">
        <w:trPr>
          <w:trHeight w:val="165"/>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bookmarkStart w:id="66" w:name="n136"/>
            <w:bookmarkEnd w:id="66"/>
            <w:r w:rsidRPr="00412C7E">
              <w:rPr>
                <w:rFonts w:ascii="Times New Roman" w:eastAsia="Times New Roman" w:hAnsi="Times New Roman" w:cs="Times New Roman"/>
                <w:sz w:val="24"/>
                <w:szCs w:val="24"/>
                <w:lang w:eastAsia="ru-RU"/>
              </w:rPr>
              <w:t>Номер елемента</w:t>
            </w:r>
          </w:p>
        </w:tc>
        <w:tc>
          <w:tcPr>
            <w:tcW w:w="96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8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4.6.1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операції, визначений автоматизованим програмним забезпеченням, яке використовується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4.6.2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документа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документа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4.6.3</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оформлення документа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4.6.4</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документа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документа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4.6.5</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Опис операції</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сутності операції</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4.6.6</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Кореспондуючі рахунки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Рахунки, що використовуються для відображення господарської операції шляхом подвійного запису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4.6.6.1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Дебет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Ліва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4.6.6.1.1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4.6.6.2</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Кредит</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Права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4.6.6.2.1</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4.6.7</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без податку на додану вартість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вартості продукту за вирахуванням податку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4.6.8</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Податок на додану вартість</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величини податку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4.6.9</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господарської операції</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4.6.10</w:t>
            </w:r>
          </w:p>
        </w:tc>
        <w:tc>
          <w:tcPr>
            <w:tcW w:w="96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w:t>
            </w: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8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67" w:name="n137"/>
      <w:bookmarkEnd w:id="67"/>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підрозділі «Інформація про бухгалтерські довідки та інші первинні документи» зазначаються дані, що відображені у складених і проведених в бухгалтерському обліку суб’єкта господарювання бухгалтерських (службових) довідках, складених у довільній формі посадовими особами суб’єкта господарювання, та інших первинних документах, які містять інформацію про деталі господарської операції, які не включені до попередніх підрозділів цього файлу SAF-T UA. Така інформація наводиться за період діяльності суб’єкта господарювання, за який формується SAF-T UA.</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68" w:name="n138"/>
      <w:bookmarkEnd w:id="68"/>
      <w:r w:rsidRPr="00412C7E">
        <w:rPr>
          <w:rFonts w:ascii="Times New Roman" w:eastAsia="Times New Roman" w:hAnsi="Times New Roman" w:cs="Times New Roman"/>
          <w:b/>
          <w:bCs/>
          <w:sz w:val="28"/>
          <w:szCs w:val="28"/>
          <w:lang w:eastAsia="ru-RU"/>
        </w:rPr>
        <w:t>Розділ 5. Податкові різниці</w:t>
      </w:r>
    </w:p>
    <w:p w:rsidR="00412C7E" w:rsidRPr="00412C7E" w:rsidRDefault="00412C7E" w:rsidP="00412C7E">
      <w:pPr>
        <w:spacing w:before="150" w:after="150" w:line="240" w:lineRule="auto"/>
        <w:ind w:left="225" w:right="225"/>
        <w:jc w:val="center"/>
        <w:rPr>
          <w:rFonts w:ascii="Times New Roman" w:eastAsia="Times New Roman" w:hAnsi="Times New Roman" w:cs="Times New Roman"/>
          <w:sz w:val="24"/>
          <w:szCs w:val="24"/>
          <w:lang w:eastAsia="ru-RU"/>
        </w:rPr>
      </w:pPr>
      <w:bookmarkStart w:id="69" w:name="n139"/>
      <w:bookmarkEnd w:id="69"/>
      <w:r w:rsidRPr="00412C7E">
        <w:rPr>
          <w:rFonts w:ascii="Times New Roman" w:eastAsia="Times New Roman" w:hAnsi="Times New Roman" w:cs="Times New Roman"/>
          <w:b/>
          <w:bCs/>
          <w:sz w:val="28"/>
          <w:szCs w:val="28"/>
          <w:lang w:eastAsia="ru-RU"/>
        </w:rPr>
        <w:t>Підрозділ 5.1. Податкові різниці, що виникли у суб’єкта господарювання</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121"/>
        <w:gridCol w:w="1792"/>
        <w:gridCol w:w="2310"/>
        <w:gridCol w:w="4162"/>
      </w:tblGrid>
      <w:tr w:rsidR="00412C7E" w:rsidRPr="00412C7E" w:rsidTr="00412C7E">
        <w:trPr>
          <w:trHeight w:val="165"/>
        </w:trPr>
        <w:tc>
          <w:tcPr>
            <w:tcW w:w="855" w:type="dxa"/>
            <w:tcBorders>
              <w:top w:val="single" w:sz="6" w:space="0" w:color="000000"/>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bookmarkStart w:id="70" w:name="n140"/>
            <w:bookmarkEnd w:id="70"/>
            <w:r w:rsidRPr="00412C7E">
              <w:rPr>
                <w:rFonts w:ascii="Times New Roman" w:eastAsia="Times New Roman" w:hAnsi="Times New Roman" w:cs="Times New Roman"/>
                <w:sz w:val="24"/>
                <w:szCs w:val="24"/>
                <w:lang w:eastAsia="ru-RU"/>
              </w:rPr>
              <w:t>Номер елемента</w:t>
            </w:r>
          </w:p>
        </w:tc>
        <w:tc>
          <w:tcPr>
            <w:tcW w:w="11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Обов’язковість заповнення</w:t>
            </w:r>
          </w:p>
        </w:tc>
        <w:tc>
          <w:tcPr>
            <w:tcW w:w="2040"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w:t>
            </w:r>
          </w:p>
        </w:tc>
        <w:tc>
          <w:tcPr>
            <w:tcW w:w="3675" w:type="dxa"/>
            <w:tcBorders>
              <w:top w:val="single" w:sz="6" w:space="0" w:color="000000"/>
              <w:left w:val="nil"/>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елемента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5.1.1</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Елемент податкових різниць</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різниці відповідно до додатка РІ до податкової декларації з податку на прибуток</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5.1.2</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Період</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 xml:space="preserve">Податковий звітний період відповідно до додатка РІ до податкової декларації з податку на прибуток, в якому </w:t>
            </w:r>
            <w:r w:rsidRPr="00412C7E">
              <w:rPr>
                <w:rFonts w:ascii="Times New Roman" w:eastAsia="Times New Roman" w:hAnsi="Times New Roman" w:cs="Times New Roman"/>
                <w:sz w:val="24"/>
                <w:szCs w:val="24"/>
                <w:lang w:eastAsia="ru-RU"/>
              </w:rPr>
              <w:lastRenderedPageBreak/>
              <w:t>задекларовано цю різницю</w:t>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5.1.3</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податкової різниці</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податкової різниці відповідно до додатка РІ до податкової декларації з податку на прибуток</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5.1.4</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 різниці</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5.1.5</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Порядок обрахунку</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Наводяться дані, що застосовувались для обрахунку різниці, та порядок її розрахунку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5.1.6</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операції</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операції, визначений автоматизованим програмним забезпеченням, яке використовується суб’єктом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5.1.7</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документа</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Унікальний ідентифікатор документа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5.1.8</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Дата оформлення документа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5.1.9</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документа</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Назва документа</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5.1.10</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Опис операції</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Характеристика сутності операції</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5.1.11</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Кореспондуючі рахунки</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Рахунки, що використовуються для відображення господарської операції шляхом подвійного запису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5.1.11.1</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Дебет</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Ліва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5.1.11.1.1</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5.1.11.2</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Кредит</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Права сторона бухгалтерського рахунку</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5.1.11.2.1</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рахунку</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Номер рахунку/субрахунку / аналітичного рахунку відповідно до Плану рахунків суб’єкта господарювання</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5.1.12</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Сума</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Грошова оцінка господарської операції</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5.1.13</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Код валюти</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Трибуквений код валюти</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lastRenderedPageBreak/>
              <w:t>5.1.14</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 які збільшується фінансовий результат</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Відображається загальна сума та перелік кодів податкових різниць, на які збільшується фінансовий результат</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5.1.15</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 які зменшується фінансовий результат</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Відображається загальна сума та перелік кодів податкових різниць, на які зменшується фінансовий результат</w:t>
            </w:r>
          </w:p>
        </w:tc>
      </w:tr>
      <w:tr w:rsidR="00412C7E" w:rsidRPr="00412C7E" w:rsidTr="00412C7E">
        <w:trPr>
          <w:trHeight w:val="165"/>
        </w:trPr>
        <w:tc>
          <w:tcPr>
            <w:tcW w:w="855" w:type="dxa"/>
            <w:tcBorders>
              <w:top w:val="nil"/>
              <w:left w:val="single" w:sz="6" w:space="0" w:color="000000"/>
              <w:bottom w:val="single" w:sz="6" w:space="0" w:color="000000"/>
              <w:right w:val="single" w:sz="6" w:space="0" w:color="000000"/>
            </w:tcBorders>
            <w:hideMark/>
          </w:tcPr>
          <w:p w:rsidR="00412C7E" w:rsidRPr="00412C7E" w:rsidRDefault="00412C7E" w:rsidP="00412C7E">
            <w:pPr>
              <w:spacing w:before="150" w:after="150" w:line="165" w:lineRule="atLeast"/>
              <w:jc w:val="center"/>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5.1.16</w:t>
            </w:r>
          </w:p>
        </w:tc>
        <w:tc>
          <w:tcPr>
            <w:tcW w:w="1140" w:type="dxa"/>
            <w:tcBorders>
              <w:top w:val="nil"/>
              <w:left w:val="nil"/>
              <w:bottom w:val="single" w:sz="6" w:space="0" w:color="000000"/>
              <w:right w:val="single" w:sz="6" w:space="0" w:color="000000"/>
            </w:tcBorders>
            <w:hideMark/>
          </w:tcPr>
          <w:p w:rsidR="00412C7E" w:rsidRPr="00412C7E" w:rsidRDefault="00412C7E" w:rsidP="00412C7E">
            <w:pPr>
              <w:spacing w:after="0" w:line="240" w:lineRule="auto"/>
              <w:rPr>
                <w:rFonts w:ascii="Times New Roman" w:eastAsia="Times New Roman" w:hAnsi="Times New Roman" w:cs="Times New Roman"/>
                <w:sz w:val="16"/>
                <w:szCs w:val="24"/>
                <w:lang w:eastAsia="ru-RU"/>
              </w:rPr>
            </w:pPr>
          </w:p>
        </w:tc>
        <w:tc>
          <w:tcPr>
            <w:tcW w:w="2040"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Примітки</w:t>
            </w:r>
          </w:p>
        </w:tc>
        <w:tc>
          <w:tcPr>
            <w:tcW w:w="3675" w:type="dxa"/>
            <w:tcBorders>
              <w:top w:val="nil"/>
              <w:left w:val="nil"/>
              <w:bottom w:val="single" w:sz="6" w:space="0" w:color="000000"/>
              <w:right w:val="single" w:sz="6" w:space="0" w:color="000000"/>
            </w:tcBorders>
            <w:hideMark/>
          </w:tcPr>
          <w:p w:rsidR="00412C7E" w:rsidRPr="00412C7E" w:rsidRDefault="00412C7E" w:rsidP="00412C7E">
            <w:pPr>
              <w:spacing w:before="150" w:after="150" w:line="165" w:lineRule="atLeast"/>
              <w:rPr>
                <w:rFonts w:ascii="Times New Roman" w:eastAsia="Times New Roman" w:hAnsi="Times New Roman" w:cs="Times New Roman"/>
                <w:sz w:val="24"/>
                <w:szCs w:val="24"/>
                <w:lang w:eastAsia="ru-RU"/>
              </w:rPr>
            </w:pPr>
            <w:r w:rsidRPr="00412C7E">
              <w:rPr>
                <w:rFonts w:ascii="Times New Roman" w:eastAsia="Times New Roman" w:hAnsi="Times New Roman" w:cs="Times New Roman"/>
                <w:sz w:val="24"/>
                <w:szCs w:val="24"/>
                <w:lang w:eastAsia="ru-RU"/>
              </w:rPr>
              <w:t>Наводиться додаткова інформація, яка, на думку платника податків, забезпечує більш повне та достовірне відображення даних щодо податкових різниць</w:t>
            </w:r>
          </w:p>
        </w:tc>
      </w:tr>
    </w:tbl>
    <w:p w:rsidR="00412C7E" w:rsidRPr="00412C7E" w:rsidRDefault="00412C7E" w:rsidP="00412C7E">
      <w:pPr>
        <w:spacing w:before="150" w:after="150" w:line="240" w:lineRule="auto"/>
        <w:rPr>
          <w:rFonts w:ascii="Times New Roman" w:eastAsia="Times New Roman" w:hAnsi="Times New Roman" w:cs="Times New Roman"/>
          <w:sz w:val="24"/>
          <w:szCs w:val="24"/>
          <w:lang w:eastAsia="ru-RU"/>
        </w:rPr>
      </w:pPr>
      <w:bookmarkStart w:id="71" w:name="n141"/>
      <w:bookmarkEnd w:id="71"/>
      <w:r w:rsidRPr="00412C7E">
        <w:rPr>
          <w:rFonts w:ascii="Times New Roman" w:eastAsia="Times New Roman" w:hAnsi="Times New Roman" w:cs="Times New Roman"/>
          <w:sz w:val="20"/>
          <w:szCs w:val="20"/>
          <w:lang w:eastAsia="ru-RU"/>
        </w:rPr>
        <w:t>__________</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1</w:t>
      </w:r>
      <w:r w:rsidRPr="00412C7E">
        <w:rPr>
          <w:rFonts w:ascii="Times New Roman" w:eastAsia="Times New Roman" w:hAnsi="Times New Roman" w:cs="Times New Roman"/>
          <w:sz w:val="20"/>
          <w:szCs w:val="20"/>
          <w:lang w:eastAsia="ru-RU"/>
        </w:rPr>
        <w:t> У розділі «Податкові різниці» заповнюються дані щодо податкових різниць, на які збільшується/зменшується фінансовий результат у розрізі кожного показника, визначеного Податковим кодексом України, що в періоді, за який надається інформація на запит контролюючого органу, мав вплив на фінансовий результат суб’єкта господарювання (як у бік зменшення, так і бік збільшення). При цьому відображається кожний елемент податкових різниць зі стислим описом характеристики сутності операції, її обґрунтування відповідно до вимог ПСБО/МСБО, МСФЗ, відображення проведених операцій в бухгалтерському обліку (бухгалтерські проведення) суб’єкта господарювання, загальна сума податкових різниць.</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2</w:t>
      </w:r>
      <w:r w:rsidRPr="00412C7E">
        <w:rPr>
          <w:rFonts w:ascii="Times New Roman" w:eastAsia="Times New Roman" w:hAnsi="Times New Roman" w:cs="Times New Roman"/>
          <w:sz w:val="20"/>
          <w:szCs w:val="20"/>
          <w:lang w:eastAsia="ru-RU"/>
        </w:rPr>
        <w:t> Інформація заповнюється за кожний податковий звітний період у межах періоду господарської діяльності суб’єкта господарювання, за який формується SAF-T UA.</w:t>
      </w:r>
      <w:r w:rsidRPr="00412C7E">
        <w:rPr>
          <w:rFonts w:ascii="Times New Roman" w:eastAsia="Times New Roman" w:hAnsi="Times New Roman" w:cs="Times New Roman"/>
          <w:sz w:val="24"/>
          <w:szCs w:val="24"/>
          <w:lang w:eastAsia="ru-RU"/>
        </w:rPr>
        <w:br/>
      </w:r>
      <w:r w:rsidRPr="00412C7E">
        <w:rPr>
          <w:rFonts w:ascii="Times New Roman" w:eastAsia="Times New Roman" w:hAnsi="Times New Roman" w:cs="Times New Roman"/>
          <w:b/>
          <w:bCs/>
          <w:sz w:val="2"/>
          <w:szCs w:val="2"/>
          <w:vertAlign w:val="superscript"/>
          <w:lang w:eastAsia="ru-RU"/>
        </w:rPr>
        <w:t>-</w:t>
      </w:r>
      <w:r w:rsidRPr="00412C7E">
        <w:rPr>
          <w:rFonts w:ascii="Times New Roman" w:eastAsia="Times New Roman" w:hAnsi="Times New Roman" w:cs="Times New Roman"/>
          <w:b/>
          <w:bCs/>
          <w:sz w:val="16"/>
          <w:szCs w:val="16"/>
          <w:vertAlign w:val="superscript"/>
          <w:lang w:eastAsia="ru-RU"/>
        </w:rPr>
        <w:t>3</w:t>
      </w:r>
      <w:r w:rsidRPr="00412C7E">
        <w:rPr>
          <w:rFonts w:ascii="Times New Roman" w:eastAsia="Times New Roman" w:hAnsi="Times New Roman" w:cs="Times New Roman"/>
          <w:sz w:val="20"/>
          <w:szCs w:val="20"/>
          <w:lang w:eastAsia="ru-RU"/>
        </w:rPr>
        <w:t> Інформація у розділі таблиці щодо деталей обрахунку заповнюється залежно від типу різниці та наявності даних.</w:t>
      </w:r>
    </w:p>
    <w:p w:rsidR="00412C7E" w:rsidRPr="00412C7E" w:rsidRDefault="00412C7E" w:rsidP="00412C7E">
      <w:pPr>
        <w:spacing w:after="150" w:line="240" w:lineRule="auto"/>
        <w:ind w:firstLine="450"/>
        <w:jc w:val="both"/>
        <w:rPr>
          <w:rFonts w:ascii="Times New Roman" w:eastAsia="Times New Roman" w:hAnsi="Times New Roman" w:cs="Times New Roman"/>
          <w:sz w:val="24"/>
          <w:szCs w:val="24"/>
          <w:lang w:eastAsia="ru-RU"/>
        </w:rPr>
      </w:pPr>
      <w:bookmarkStart w:id="72" w:name="n144"/>
      <w:bookmarkEnd w:id="72"/>
      <w:r w:rsidRPr="00412C7E">
        <w:rPr>
          <w:rFonts w:ascii="Times New Roman" w:eastAsia="Times New Roman" w:hAnsi="Times New Roman" w:cs="Times New Roman"/>
          <w:sz w:val="24"/>
          <w:szCs w:val="24"/>
          <w:lang w:eastAsia="ru-RU"/>
        </w:rPr>
        <w:t>У стовпчику «Обов’язковість заповнення» по всіх розділах цього додатка наявність позначки «*» означає, що показник (інформація) повинна обов’язково бути заповнена, відсутність такої позначки означає, що показник може бути заповнений у разі його наявності.</w:t>
      </w:r>
    </w:p>
    <w:p w:rsidR="00942834" w:rsidRPr="00412C7E" w:rsidRDefault="00942834" w:rsidP="00412C7E"/>
    <w:sectPr w:rsidR="00942834" w:rsidRPr="00412C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C7E"/>
    <w:rsid w:val="00412C7E"/>
    <w:rsid w:val="00942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412C7E"/>
  </w:style>
  <w:style w:type="paragraph" w:customStyle="1" w:styleId="rvps1">
    <w:name w:val="rvps1"/>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412C7E"/>
  </w:style>
  <w:style w:type="paragraph" w:customStyle="1" w:styleId="rvps4">
    <w:name w:val="rvps4"/>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412C7E"/>
  </w:style>
  <w:style w:type="paragraph" w:customStyle="1" w:styleId="rvps7">
    <w:name w:val="rvps7"/>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412C7E"/>
  </w:style>
  <w:style w:type="paragraph" w:customStyle="1" w:styleId="rvps14">
    <w:name w:val="rvps14"/>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12C7E"/>
    <w:rPr>
      <w:color w:val="0000FF"/>
      <w:u w:val="single"/>
    </w:rPr>
  </w:style>
  <w:style w:type="character" w:styleId="a4">
    <w:name w:val="FollowedHyperlink"/>
    <w:basedOn w:val="a0"/>
    <w:uiPriority w:val="99"/>
    <w:semiHidden/>
    <w:unhideWhenUsed/>
    <w:rsid w:val="00412C7E"/>
    <w:rPr>
      <w:color w:val="800080"/>
      <w:u w:val="single"/>
    </w:rPr>
  </w:style>
  <w:style w:type="character" w:customStyle="1" w:styleId="rvts52">
    <w:name w:val="rvts52"/>
    <w:basedOn w:val="a0"/>
    <w:rsid w:val="00412C7E"/>
  </w:style>
  <w:style w:type="character" w:customStyle="1" w:styleId="rvts44">
    <w:name w:val="rvts44"/>
    <w:basedOn w:val="a0"/>
    <w:rsid w:val="00412C7E"/>
  </w:style>
  <w:style w:type="paragraph" w:customStyle="1" w:styleId="rvps15">
    <w:name w:val="rvps15"/>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
    <w:name w:val="rvts37"/>
    <w:basedOn w:val="a0"/>
    <w:rsid w:val="00412C7E"/>
  </w:style>
  <w:style w:type="paragraph" w:customStyle="1" w:styleId="rvps12">
    <w:name w:val="rvps12"/>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82">
    <w:name w:val="rvts82"/>
    <w:basedOn w:val="a0"/>
    <w:rsid w:val="00412C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412C7E"/>
  </w:style>
  <w:style w:type="paragraph" w:customStyle="1" w:styleId="rvps1">
    <w:name w:val="rvps1"/>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412C7E"/>
  </w:style>
  <w:style w:type="paragraph" w:customStyle="1" w:styleId="rvps4">
    <w:name w:val="rvps4"/>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412C7E"/>
  </w:style>
  <w:style w:type="paragraph" w:customStyle="1" w:styleId="rvps7">
    <w:name w:val="rvps7"/>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412C7E"/>
  </w:style>
  <w:style w:type="paragraph" w:customStyle="1" w:styleId="rvps14">
    <w:name w:val="rvps14"/>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12C7E"/>
    <w:rPr>
      <w:color w:val="0000FF"/>
      <w:u w:val="single"/>
    </w:rPr>
  </w:style>
  <w:style w:type="character" w:styleId="a4">
    <w:name w:val="FollowedHyperlink"/>
    <w:basedOn w:val="a0"/>
    <w:uiPriority w:val="99"/>
    <w:semiHidden/>
    <w:unhideWhenUsed/>
    <w:rsid w:val="00412C7E"/>
    <w:rPr>
      <w:color w:val="800080"/>
      <w:u w:val="single"/>
    </w:rPr>
  </w:style>
  <w:style w:type="character" w:customStyle="1" w:styleId="rvts52">
    <w:name w:val="rvts52"/>
    <w:basedOn w:val="a0"/>
    <w:rsid w:val="00412C7E"/>
  </w:style>
  <w:style w:type="character" w:customStyle="1" w:styleId="rvts44">
    <w:name w:val="rvts44"/>
    <w:basedOn w:val="a0"/>
    <w:rsid w:val="00412C7E"/>
  </w:style>
  <w:style w:type="paragraph" w:customStyle="1" w:styleId="rvps15">
    <w:name w:val="rvps15"/>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
    <w:name w:val="rvts37"/>
    <w:basedOn w:val="a0"/>
    <w:rsid w:val="00412C7E"/>
  </w:style>
  <w:style w:type="paragraph" w:customStyle="1" w:styleId="rvps12">
    <w:name w:val="rvps12"/>
    <w:basedOn w:val="a"/>
    <w:rsid w:val="00412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82">
    <w:name w:val="rvts82"/>
    <w:basedOn w:val="a0"/>
    <w:rsid w:val="00412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454674">
      <w:bodyDiv w:val="1"/>
      <w:marLeft w:val="0"/>
      <w:marRight w:val="0"/>
      <w:marTop w:val="0"/>
      <w:marBottom w:val="0"/>
      <w:divBdr>
        <w:top w:val="none" w:sz="0" w:space="0" w:color="auto"/>
        <w:left w:val="none" w:sz="0" w:space="0" w:color="auto"/>
        <w:bottom w:val="none" w:sz="0" w:space="0" w:color="auto"/>
        <w:right w:val="none" w:sz="0" w:space="0" w:color="auto"/>
      </w:divBdr>
      <w:divsChild>
        <w:div w:id="990987735">
          <w:marLeft w:val="-225"/>
          <w:marRight w:val="-225"/>
          <w:marTop w:val="0"/>
          <w:marBottom w:val="0"/>
          <w:divBdr>
            <w:top w:val="none" w:sz="0" w:space="0" w:color="auto"/>
            <w:left w:val="none" w:sz="0" w:space="0" w:color="auto"/>
            <w:bottom w:val="none" w:sz="0" w:space="0" w:color="auto"/>
            <w:right w:val="none" w:sz="0" w:space="0" w:color="auto"/>
          </w:divBdr>
          <w:divsChild>
            <w:div w:id="1333605598">
              <w:marLeft w:val="0"/>
              <w:marRight w:val="0"/>
              <w:marTop w:val="0"/>
              <w:marBottom w:val="0"/>
              <w:divBdr>
                <w:top w:val="none" w:sz="0" w:space="0" w:color="auto"/>
                <w:left w:val="none" w:sz="0" w:space="0" w:color="auto"/>
                <w:bottom w:val="none" w:sz="0" w:space="0" w:color="auto"/>
                <w:right w:val="none" w:sz="0" w:space="0" w:color="auto"/>
              </w:divBdr>
              <w:divsChild>
                <w:div w:id="1597861194">
                  <w:marLeft w:val="0"/>
                  <w:marRight w:val="0"/>
                  <w:marTop w:val="0"/>
                  <w:marBottom w:val="0"/>
                  <w:divBdr>
                    <w:top w:val="none" w:sz="0" w:space="0" w:color="auto"/>
                    <w:left w:val="none" w:sz="0" w:space="0" w:color="auto"/>
                    <w:bottom w:val="none" w:sz="0" w:space="0" w:color="auto"/>
                    <w:right w:val="none" w:sz="0" w:space="0" w:color="auto"/>
                  </w:divBdr>
                  <w:divsChild>
                    <w:div w:id="886843324">
                      <w:marLeft w:val="0"/>
                      <w:marRight w:val="0"/>
                      <w:marTop w:val="0"/>
                      <w:marBottom w:val="0"/>
                      <w:divBdr>
                        <w:top w:val="none" w:sz="0" w:space="0" w:color="auto"/>
                        <w:left w:val="none" w:sz="0" w:space="0" w:color="auto"/>
                        <w:bottom w:val="none" w:sz="0" w:space="0" w:color="auto"/>
                        <w:right w:val="none" w:sz="0" w:space="0" w:color="auto"/>
                      </w:divBdr>
                      <w:divsChild>
                        <w:div w:id="921640575">
                          <w:marLeft w:val="0"/>
                          <w:marRight w:val="0"/>
                          <w:marTop w:val="150"/>
                          <w:marBottom w:val="150"/>
                          <w:divBdr>
                            <w:top w:val="none" w:sz="0" w:space="0" w:color="auto"/>
                            <w:left w:val="none" w:sz="0" w:space="0" w:color="auto"/>
                            <w:bottom w:val="none" w:sz="0" w:space="0" w:color="auto"/>
                            <w:right w:val="none" w:sz="0" w:space="0" w:color="auto"/>
                          </w:divBdr>
                        </w:div>
                        <w:div w:id="875002193">
                          <w:marLeft w:val="0"/>
                          <w:marRight w:val="0"/>
                          <w:marTop w:val="0"/>
                          <w:marBottom w:val="150"/>
                          <w:divBdr>
                            <w:top w:val="none" w:sz="0" w:space="0" w:color="auto"/>
                            <w:left w:val="none" w:sz="0" w:space="0" w:color="auto"/>
                            <w:bottom w:val="none" w:sz="0" w:space="0" w:color="auto"/>
                            <w:right w:val="none" w:sz="0" w:space="0" w:color="auto"/>
                          </w:divBdr>
                        </w:div>
                        <w:div w:id="2045517985">
                          <w:marLeft w:val="0"/>
                          <w:marRight w:val="0"/>
                          <w:marTop w:val="0"/>
                          <w:marBottom w:val="150"/>
                          <w:divBdr>
                            <w:top w:val="none" w:sz="0" w:space="0" w:color="auto"/>
                            <w:left w:val="none" w:sz="0" w:space="0" w:color="auto"/>
                            <w:bottom w:val="none" w:sz="0" w:space="0" w:color="auto"/>
                            <w:right w:val="none" w:sz="0" w:space="0" w:color="auto"/>
                          </w:divBdr>
                        </w:div>
                        <w:div w:id="1313874942">
                          <w:marLeft w:val="0"/>
                          <w:marRight w:val="0"/>
                          <w:marTop w:val="0"/>
                          <w:marBottom w:val="150"/>
                          <w:divBdr>
                            <w:top w:val="none" w:sz="0" w:space="0" w:color="auto"/>
                            <w:left w:val="none" w:sz="0" w:space="0" w:color="auto"/>
                            <w:bottom w:val="none" w:sz="0" w:space="0" w:color="auto"/>
                            <w:right w:val="none" w:sz="0" w:space="0" w:color="auto"/>
                          </w:divBdr>
                        </w:div>
                        <w:div w:id="1620839453">
                          <w:marLeft w:val="0"/>
                          <w:marRight w:val="0"/>
                          <w:marTop w:val="0"/>
                          <w:marBottom w:val="150"/>
                          <w:divBdr>
                            <w:top w:val="none" w:sz="0" w:space="0" w:color="auto"/>
                            <w:left w:val="none" w:sz="0" w:space="0" w:color="auto"/>
                            <w:bottom w:val="none" w:sz="0" w:space="0" w:color="auto"/>
                            <w:right w:val="none" w:sz="0" w:space="0" w:color="auto"/>
                          </w:divBdr>
                        </w:div>
                        <w:div w:id="739327602">
                          <w:marLeft w:val="0"/>
                          <w:marRight w:val="0"/>
                          <w:marTop w:val="0"/>
                          <w:marBottom w:val="150"/>
                          <w:divBdr>
                            <w:top w:val="none" w:sz="0" w:space="0" w:color="auto"/>
                            <w:left w:val="none" w:sz="0" w:space="0" w:color="auto"/>
                            <w:bottom w:val="none" w:sz="0" w:space="0" w:color="auto"/>
                            <w:right w:val="none" w:sz="0" w:space="0" w:color="auto"/>
                          </w:divBdr>
                        </w:div>
                        <w:div w:id="1833788880">
                          <w:marLeft w:val="0"/>
                          <w:marRight w:val="0"/>
                          <w:marTop w:val="0"/>
                          <w:marBottom w:val="150"/>
                          <w:divBdr>
                            <w:top w:val="none" w:sz="0" w:space="0" w:color="auto"/>
                            <w:left w:val="none" w:sz="0" w:space="0" w:color="auto"/>
                            <w:bottom w:val="none" w:sz="0" w:space="0" w:color="auto"/>
                            <w:right w:val="none" w:sz="0" w:space="0" w:color="auto"/>
                          </w:divBdr>
                        </w:div>
                        <w:div w:id="2081440401">
                          <w:marLeft w:val="0"/>
                          <w:marRight w:val="0"/>
                          <w:marTop w:val="0"/>
                          <w:marBottom w:val="150"/>
                          <w:divBdr>
                            <w:top w:val="none" w:sz="0" w:space="0" w:color="auto"/>
                            <w:left w:val="none" w:sz="0" w:space="0" w:color="auto"/>
                            <w:bottom w:val="none" w:sz="0" w:space="0" w:color="auto"/>
                            <w:right w:val="none" w:sz="0" w:space="0" w:color="auto"/>
                          </w:divBdr>
                        </w:div>
                        <w:div w:id="1000816192">
                          <w:marLeft w:val="0"/>
                          <w:marRight w:val="0"/>
                          <w:marTop w:val="0"/>
                          <w:marBottom w:val="150"/>
                          <w:divBdr>
                            <w:top w:val="none" w:sz="0" w:space="0" w:color="auto"/>
                            <w:left w:val="none" w:sz="0" w:space="0" w:color="auto"/>
                            <w:bottom w:val="none" w:sz="0" w:space="0" w:color="auto"/>
                            <w:right w:val="none" w:sz="0" w:space="0" w:color="auto"/>
                          </w:divBdr>
                        </w:div>
                        <w:div w:id="1945458881">
                          <w:marLeft w:val="0"/>
                          <w:marRight w:val="0"/>
                          <w:marTop w:val="0"/>
                          <w:marBottom w:val="150"/>
                          <w:divBdr>
                            <w:top w:val="none" w:sz="0" w:space="0" w:color="auto"/>
                            <w:left w:val="none" w:sz="0" w:space="0" w:color="auto"/>
                            <w:bottom w:val="none" w:sz="0" w:space="0" w:color="auto"/>
                            <w:right w:val="none" w:sz="0" w:space="0" w:color="auto"/>
                          </w:divBdr>
                        </w:div>
                        <w:div w:id="1850638257">
                          <w:marLeft w:val="0"/>
                          <w:marRight w:val="0"/>
                          <w:marTop w:val="0"/>
                          <w:marBottom w:val="150"/>
                          <w:divBdr>
                            <w:top w:val="none" w:sz="0" w:space="0" w:color="auto"/>
                            <w:left w:val="none" w:sz="0" w:space="0" w:color="auto"/>
                            <w:bottom w:val="none" w:sz="0" w:space="0" w:color="auto"/>
                            <w:right w:val="none" w:sz="0" w:space="0" w:color="auto"/>
                          </w:divBdr>
                        </w:div>
                        <w:div w:id="1397627730">
                          <w:marLeft w:val="0"/>
                          <w:marRight w:val="0"/>
                          <w:marTop w:val="0"/>
                          <w:marBottom w:val="150"/>
                          <w:divBdr>
                            <w:top w:val="none" w:sz="0" w:space="0" w:color="auto"/>
                            <w:left w:val="none" w:sz="0" w:space="0" w:color="auto"/>
                            <w:bottom w:val="none" w:sz="0" w:space="0" w:color="auto"/>
                            <w:right w:val="none" w:sz="0" w:space="0" w:color="auto"/>
                          </w:divBdr>
                        </w:div>
                        <w:div w:id="1989556932">
                          <w:marLeft w:val="0"/>
                          <w:marRight w:val="0"/>
                          <w:marTop w:val="0"/>
                          <w:marBottom w:val="150"/>
                          <w:divBdr>
                            <w:top w:val="none" w:sz="0" w:space="0" w:color="auto"/>
                            <w:left w:val="none" w:sz="0" w:space="0" w:color="auto"/>
                            <w:bottom w:val="none" w:sz="0" w:space="0" w:color="auto"/>
                            <w:right w:val="none" w:sz="0" w:space="0" w:color="auto"/>
                          </w:divBdr>
                        </w:div>
                        <w:div w:id="1487699889">
                          <w:marLeft w:val="0"/>
                          <w:marRight w:val="0"/>
                          <w:marTop w:val="0"/>
                          <w:marBottom w:val="150"/>
                          <w:divBdr>
                            <w:top w:val="none" w:sz="0" w:space="0" w:color="auto"/>
                            <w:left w:val="none" w:sz="0" w:space="0" w:color="auto"/>
                            <w:bottom w:val="none" w:sz="0" w:space="0" w:color="auto"/>
                            <w:right w:val="none" w:sz="0" w:space="0" w:color="auto"/>
                          </w:divBdr>
                        </w:div>
                        <w:div w:id="930966752">
                          <w:marLeft w:val="0"/>
                          <w:marRight w:val="0"/>
                          <w:marTop w:val="0"/>
                          <w:marBottom w:val="150"/>
                          <w:divBdr>
                            <w:top w:val="none" w:sz="0" w:space="0" w:color="auto"/>
                            <w:left w:val="none" w:sz="0" w:space="0" w:color="auto"/>
                            <w:bottom w:val="none" w:sz="0" w:space="0" w:color="auto"/>
                            <w:right w:val="none" w:sz="0" w:space="0" w:color="auto"/>
                          </w:divBdr>
                        </w:div>
                        <w:div w:id="995963107">
                          <w:marLeft w:val="0"/>
                          <w:marRight w:val="0"/>
                          <w:marTop w:val="0"/>
                          <w:marBottom w:val="150"/>
                          <w:divBdr>
                            <w:top w:val="none" w:sz="0" w:space="0" w:color="auto"/>
                            <w:left w:val="none" w:sz="0" w:space="0" w:color="auto"/>
                            <w:bottom w:val="none" w:sz="0" w:space="0" w:color="auto"/>
                            <w:right w:val="none" w:sz="0" w:space="0" w:color="auto"/>
                          </w:divBdr>
                        </w:div>
                        <w:div w:id="1730811031">
                          <w:marLeft w:val="0"/>
                          <w:marRight w:val="0"/>
                          <w:marTop w:val="0"/>
                          <w:marBottom w:val="150"/>
                          <w:divBdr>
                            <w:top w:val="none" w:sz="0" w:space="0" w:color="auto"/>
                            <w:left w:val="none" w:sz="0" w:space="0" w:color="auto"/>
                            <w:bottom w:val="none" w:sz="0" w:space="0" w:color="auto"/>
                            <w:right w:val="none" w:sz="0" w:space="0" w:color="auto"/>
                          </w:divBdr>
                        </w:div>
                        <w:div w:id="1440560741">
                          <w:marLeft w:val="0"/>
                          <w:marRight w:val="0"/>
                          <w:marTop w:val="0"/>
                          <w:marBottom w:val="150"/>
                          <w:divBdr>
                            <w:top w:val="none" w:sz="0" w:space="0" w:color="auto"/>
                            <w:left w:val="none" w:sz="0" w:space="0" w:color="auto"/>
                            <w:bottom w:val="none" w:sz="0" w:space="0" w:color="auto"/>
                            <w:right w:val="none" w:sz="0" w:space="0" w:color="auto"/>
                          </w:divBdr>
                        </w:div>
                        <w:div w:id="1080519166">
                          <w:marLeft w:val="0"/>
                          <w:marRight w:val="0"/>
                          <w:marTop w:val="0"/>
                          <w:marBottom w:val="150"/>
                          <w:divBdr>
                            <w:top w:val="none" w:sz="0" w:space="0" w:color="auto"/>
                            <w:left w:val="none" w:sz="0" w:space="0" w:color="auto"/>
                            <w:bottom w:val="none" w:sz="0" w:space="0" w:color="auto"/>
                            <w:right w:val="none" w:sz="0" w:space="0" w:color="auto"/>
                          </w:divBdr>
                        </w:div>
                        <w:div w:id="1416316712">
                          <w:marLeft w:val="0"/>
                          <w:marRight w:val="0"/>
                          <w:marTop w:val="0"/>
                          <w:marBottom w:val="150"/>
                          <w:divBdr>
                            <w:top w:val="none" w:sz="0" w:space="0" w:color="auto"/>
                            <w:left w:val="none" w:sz="0" w:space="0" w:color="auto"/>
                            <w:bottom w:val="none" w:sz="0" w:space="0" w:color="auto"/>
                            <w:right w:val="none" w:sz="0" w:space="0" w:color="auto"/>
                          </w:divBdr>
                        </w:div>
                        <w:div w:id="1717926499">
                          <w:marLeft w:val="0"/>
                          <w:marRight w:val="0"/>
                          <w:marTop w:val="0"/>
                          <w:marBottom w:val="150"/>
                          <w:divBdr>
                            <w:top w:val="none" w:sz="0" w:space="0" w:color="auto"/>
                            <w:left w:val="none" w:sz="0" w:space="0" w:color="auto"/>
                            <w:bottom w:val="none" w:sz="0" w:space="0" w:color="auto"/>
                            <w:right w:val="none" w:sz="0" w:space="0" w:color="auto"/>
                          </w:divBdr>
                        </w:div>
                        <w:div w:id="2372509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35</Pages>
  <Words>9046</Words>
  <Characters>51565</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2020-12-14T10:08:00Z</dcterms:created>
  <dcterms:modified xsi:type="dcterms:W3CDTF">2020-12-14T10:14:00Z</dcterms:modified>
</cp:coreProperties>
</file>