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A2" w:rsidRPr="000161A2" w:rsidRDefault="000161A2" w:rsidP="000161A2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0161A2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0161A2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0161A2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0161A2" w:rsidRPr="000161A2" w:rsidRDefault="000161A2" w:rsidP="000161A2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0161A2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0161A2" w:rsidRPr="000161A2" w:rsidRDefault="000161A2" w:rsidP="000161A2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0161A2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0161A2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15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квітня</w:t>
      </w:r>
      <w:proofErr w:type="spellEnd"/>
      <w:r w:rsidRPr="000161A2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2020 р. № 286</w:t>
      </w:r>
    </w:p>
    <w:p w:rsidR="000161A2" w:rsidRPr="000161A2" w:rsidRDefault="000161A2" w:rsidP="000161A2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0161A2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0161A2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0161A2" w:rsidRPr="000161A2" w:rsidRDefault="000161A2" w:rsidP="000161A2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Деякі</w:t>
      </w:r>
      <w:proofErr w:type="spell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питання</w:t>
      </w:r>
      <w:proofErr w:type="spell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забезпечення</w:t>
      </w:r>
      <w:proofErr w:type="spell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доступності</w:t>
      </w:r>
      <w:proofErr w:type="spell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</w:t>
      </w:r>
      <w:proofErr w:type="gram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</w:t>
      </w:r>
      <w:proofErr w:type="spellEnd"/>
      <w:proofErr w:type="gram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лікування</w:t>
      </w:r>
      <w:proofErr w:type="spell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ревматичних</w:t>
      </w:r>
      <w:proofErr w:type="spellEnd"/>
      <w:r w:rsidRPr="000161A2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хвороб</w:t>
      </w:r>
    </w:p>
    <w:p w:rsidR="000161A2" w:rsidRPr="000161A2" w:rsidRDefault="000161A2" w:rsidP="000161A2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0161A2" w:rsidRPr="000161A2" w:rsidRDefault="000161A2" w:rsidP="000161A2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Установити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</w:t>
      </w:r>
      <w:proofErr w:type="gram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час амбулаторного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лікування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осіб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відпуск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міжнародними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непатентованими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назвами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“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Хлорохін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” та “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Гідроксихлорохін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 з аптек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аптечних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пунктів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усіх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форм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власності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дозволяється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здійснювати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виключно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електронними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рецептами,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виписаними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правил,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затверджених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Міністерством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0161A2" w:rsidRPr="000161A2" w:rsidRDefault="000161A2" w:rsidP="000161A2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Аптекам та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аптечним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пунктам </w:t>
      </w:r>
      <w:proofErr w:type="spellStart"/>
      <w:proofErr w:type="gram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дозволяється</w:t>
      </w:r>
      <w:proofErr w:type="spellEnd"/>
      <w:proofErr w:type="gram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протягом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30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календарних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днів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дня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набрання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чинності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цією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завершити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відпуск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реалізацію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закуплених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міжнародними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непатентованими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назвами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“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Хлорохін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” та “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Гідроксихлорохін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”,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які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виписані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паперових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рецептурних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бланках.</w:t>
      </w:r>
    </w:p>
    <w:p w:rsidR="000161A2" w:rsidRPr="000161A2" w:rsidRDefault="000161A2" w:rsidP="000161A2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Внести до постанов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зміни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0161A2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0161A2" w:rsidRPr="000161A2" w:rsidRDefault="000161A2" w:rsidP="000161A2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161A2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166CDB" w:rsidRDefault="00166CDB"/>
    <w:p w:rsidR="004F4A6F" w:rsidRPr="00C910E3" w:rsidRDefault="004F4A6F" w:rsidP="00C910E3">
      <w:pPr>
        <w:pStyle w:val="ShapkaDocumentu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>ЗАТВЕРДЖЕНО</w:t>
      </w:r>
      <w:r w:rsidRPr="00C910E3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</w:r>
      <w:r w:rsidRPr="00C910E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15 квітня </w:t>
      </w:r>
      <w:r w:rsidRPr="00C910E3">
        <w:rPr>
          <w:rFonts w:ascii="Times New Roman" w:hAnsi="Times New Roman"/>
          <w:sz w:val="28"/>
          <w:szCs w:val="28"/>
        </w:rPr>
        <w:t xml:space="preserve">2020 р. № </w:t>
      </w:r>
      <w:r>
        <w:rPr>
          <w:rFonts w:ascii="Times New Roman" w:hAnsi="Times New Roman"/>
          <w:sz w:val="28"/>
          <w:szCs w:val="28"/>
        </w:rPr>
        <w:t>286</w:t>
      </w:r>
    </w:p>
    <w:p w:rsidR="004F4A6F" w:rsidRPr="00C910E3" w:rsidRDefault="004F4A6F" w:rsidP="00C910E3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C910E3">
        <w:rPr>
          <w:rFonts w:ascii="Times New Roman" w:hAnsi="Times New Roman"/>
          <w:b w:val="0"/>
          <w:sz w:val="28"/>
          <w:szCs w:val="28"/>
        </w:rPr>
        <w:t>ЗМІНИ,</w:t>
      </w:r>
      <w:r w:rsidRPr="00C910E3">
        <w:rPr>
          <w:rFonts w:ascii="Times New Roman" w:hAnsi="Times New Roman"/>
          <w:b w:val="0"/>
          <w:sz w:val="28"/>
          <w:szCs w:val="28"/>
        </w:rPr>
        <w:br/>
        <w:t>що вносяться до постанов Кабінету Міністрів України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>1. Абзац другий пункту 5 постанови Кабінету Міністрів України від</w:t>
      </w:r>
      <w:r>
        <w:rPr>
          <w:rFonts w:ascii="Times New Roman" w:hAnsi="Times New Roman"/>
          <w:sz w:val="28"/>
          <w:szCs w:val="28"/>
        </w:rPr>
        <w:t xml:space="preserve"> 9 </w:t>
      </w:r>
      <w:r w:rsidRPr="00C910E3">
        <w:rPr>
          <w:rFonts w:ascii="Times New Roman" w:hAnsi="Times New Roman"/>
          <w:sz w:val="28"/>
          <w:szCs w:val="28"/>
        </w:rPr>
        <w:t xml:space="preserve">листопада 2016 р. № 862 </w:t>
      </w: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>Про державне регулювання цін на лікарські засоби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(Офіційний вісник України, 2016 р., № 95, ст. 3102; 2017 р., № 26, ст. 749) викласти в такій редакції: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 xml:space="preserve">У разі зміни офіційного курсу гривні до долара США, установленого Національним банком, більше ніж на </w:t>
      </w:r>
      <w:r>
        <w:rPr>
          <w:rFonts w:ascii="Times New Roman" w:hAnsi="Times New Roman"/>
          <w:sz w:val="28"/>
          <w:szCs w:val="28"/>
        </w:rPr>
        <w:t>5 відсотків на місяць або на 10 </w:t>
      </w:r>
      <w:r w:rsidRPr="00C910E3">
        <w:rPr>
          <w:rFonts w:ascii="Times New Roman" w:hAnsi="Times New Roman"/>
          <w:sz w:val="28"/>
          <w:szCs w:val="28"/>
        </w:rPr>
        <w:t xml:space="preserve">відсотків за квартал та/або внесення змін до </w:t>
      </w:r>
      <w:r>
        <w:rPr>
          <w:rFonts w:ascii="Times New Roman" w:hAnsi="Times New Roman"/>
          <w:sz w:val="28"/>
          <w:szCs w:val="28"/>
        </w:rPr>
        <w:t>п</w:t>
      </w:r>
      <w:r w:rsidRPr="00C910E3">
        <w:rPr>
          <w:rFonts w:ascii="Times New Roman" w:hAnsi="Times New Roman"/>
          <w:sz w:val="28"/>
          <w:szCs w:val="28"/>
        </w:rPr>
        <w:t>ереліку міжнародних непатентованих назв лікарських засобів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затверджен</w:t>
      </w:r>
      <w:r>
        <w:rPr>
          <w:rFonts w:ascii="Times New Roman" w:hAnsi="Times New Roman"/>
          <w:sz w:val="28"/>
          <w:szCs w:val="28"/>
        </w:rPr>
        <w:t>ого</w:t>
      </w:r>
      <w:r w:rsidRPr="00C910E3">
        <w:rPr>
          <w:rFonts w:ascii="Times New Roman" w:hAnsi="Times New Roman"/>
          <w:sz w:val="28"/>
          <w:szCs w:val="28"/>
        </w:rPr>
        <w:t xml:space="preserve"> постановою Кабінету Міністрів </w:t>
      </w:r>
      <w:r w:rsidRPr="00C910E3">
        <w:rPr>
          <w:rFonts w:ascii="Times New Roman" w:hAnsi="Times New Roman"/>
          <w:sz w:val="28"/>
          <w:szCs w:val="28"/>
        </w:rPr>
        <w:lastRenderedPageBreak/>
        <w:t xml:space="preserve">України від 17 березня 2017 р. № 152 </w:t>
      </w: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>Про забезпечення доступності лікарських засобів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(Офіційний вісник України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2017 р., № 26, ст. 749; 2019 р.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№ 21,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0E3">
        <w:rPr>
          <w:rFonts w:ascii="Times New Roman" w:hAnsi="Times New Roman"/>
          <w:sz w:val="28"/>
          <w:szCs w:val="28"/>
        </w:rPr>
        <w:t>ст. 716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C910E3">
        <w:rPr>
          <w:rFonts w:ascii="Times New Roman" w:hAnsi="Times New Roman"/>
          <w:sz w:val="28"/>
          <w:szCs w:val="28"/>
        </w:rPr>
        <w:t>здійснюється позачерговий перерахунок граничних оптово-відпускних цін на лікарські засоби</w:t>
      </w:r>
      <w:r>
        <w:rPr>
          <w:rFonts w:ascii="Times New Roman" w:hAnsi="Times New Roman"/>
          <w:sz w:val="28"/>
          <w:szCs w:val="28"/>
        </w:rPr>
        <w:t>.”</w:t>
      </w:r>
      <w:r w:rsidRPr="00C910E3">
        <w:rPr>
          <w:rFonts w:ascii="Times New Roman" w:hAnsi="Times New Roman"/>
          <w:sz w:val="28"/>
          <w:szCs w:val="28"/>
        </w:rPr>
        <w:t>.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>2. У постанові Кабінету Міністрів У</w:t>
      </w:r>
      <w:r>
        <w:rPr>
          <w:rFonts w:ascii="Times New Roman" w:hAnsi="Times New Roman"/>
          <w:sz w:val="28"/>
          <w:szCs w:val="28"/>
        </w:rPr>
        <w:t>країни від 17 березня 2017 р. № </w:t>
      </w:r>
      <w:r w:rsidRPr="00C910E3">
        <w:rPr>
          <w:rFonts w:ascii="Times New Roman" w:hAnsi="Times New Roman"/>
          <w:sz w:val="28"/>
          <w:szCs w:val="28"/>
        </w:rPr>
        <w:t>152</w:t>
      </w:r>
      <w:r>
        <w:rPr>
          <w:rFonts w:ascii="Times New Roman" w:hAnsi="Times New Roman"/>
          <w:sz w:val="28"/>
          <w:szCs w:val="28"/>
        </w:rPr>
        <w:t xml:space="preserve"> “</w:t>
      </w:r>
      <w:r w:rsidRPr="00C910E3">
        <w:rPr>
          <w:rFonts w:ascii="Times New Roman" w:hAnsi="Times New Roman"/>
          <w:sz w:val="28"/>
          <w:szCs w:val="28"/>
        </w:rPr>
        <w:t>Про забезпечення доступності лікарських засобів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(Офіційний вісник України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910E3">
        <w:rPr>
          <w:rFonts w:ascii="Times New Roman" w:hAnsi="Times New Roman"/>
          <w:sz w:val="28"/>
          <w:szCs w:val="28"/>
        </w:rPr>
        <w:t>2017 р., № 26, ст. 749; 2019 р.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21, ст. 716; 2020 р., № 5, ст. </w:t>
      </w:r>
      <w:r w:rsidRPr="00C910E3">
        <w:rPr>
          <w:rFonts w:ascii="Times New Roman" w:hAnsi="Times New Roman"/>
          <w:sz w:val="28"/>
          <w:szCs w:val="28"/>
        </w:rPr>
        <w:t>242):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у</w:t>
      </w:r>
      <w:r w:rsidRPr="00C910E3">
        <w:rPr>
          <w:rFonts w:ascii="Times New Roman" w:hAnsi="Times New Roman"/>
          <w:sz w:val="28"/>
          <w:szCs w:val="28"/>
        </w:rPr>
        <w:t xml:space="preserve"> Порядку визначення розміру </w:t>
      </w:r>
      <w:proofErr w:type="spellStart"/>
      <w:r w:rsidRPr="00C910E3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C910E3">
        <w:rPr>
          <w:rFonts w:ascii="Times New Roman" w:hAnsi="Times New Roman"/>
          <w:sz w:val="28"/>
          <w:szCs w:val="28"/>
        </w:rPr>
        <w:t xml:space="preserve"> лікарських засобів</w:t>
      </w:r>
      <w:r>
        <w:rPr>
          <w:rFonts w:ascii="Times New Roman" w:hAnsi="Times New Roman"/>
          <w:sz w:val="28"/>
          <w:szCs w:val="28"/>
        </w:rPr>
        <w:t>, затвердженому зазначеною постановою</w:t>
      </w:r>
      <w:r w:rsidRPr="00C910E3">
        <w:rPr>
          <w:rFonts w:ascii="Times New Roman" w:hAnsi="Times New Roman"/>
          <w:sz w:val="28"/>
          <w:szCs w:val="28"/>
        </w:rPr>
        <w:t>: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>пункт 4 викласти в такій редакції: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 xml:space="preserve">4. До Реєстру вносяться торговельні назви лікарських засобів, оптово-відпускна ціна за упаковку яких не перевищує граничну оптово-відпускну ціну в перерахунку на добову дозу лікарського засобу, крім лікарських засобів, які зазначені в розділі </w:t>
      </w: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>Ревматичні хвороби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910E3">
        <w:rPr>
          <w:rFonts w:ascii="Times New Roman" w:hAnsi="Times New Roman"/>
          <w:sz w:val="28"/>
          <w:szCs w:val="28"/>
        </w:rPr>
        <w:t>ереліку міжнародних непатентованих назв лікарських засобів.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>;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>абзац перший пункту 6 викласти в такій редакції: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 xml:space="preserve">6. До Реєстру включаються торговельні назви лікарських засобів, які підлягають </w:t>
      </w:r>
      <w:proofErr w:type="spellStart"/>
      <w:r w:rsidRPr="00C910E3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C910E3">
        <w:rPr>
          <w:rFonts w:ascii="Times New Roman" w:hAnsi="Times New Roman"/>
          <w:sz w:val="28"/>
          <w:szCs w:val="28"/>
        </w:rPr>
        <w:t xml:space="preserve">, розмір </w:t>
      </w:r>
      <w:proofErr w:type="spellStart"/>
      <w:r w:rsidRPr="00C910E3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C910E3">
        <w:rPr>
          <w:rFonts w:ascii="Times New Roman" w:hAnsi="Times New Roman"/>
          <w:sz w:val="28"/>
          <w:szCs w:val="28"/>
        </w:rPr>
        <w:t xml:space="preserve"> (добової дози лікарського засобу та за упаковку), суми доплати (у разі здійсн</w:t>
      </w:r>
      <w:r>
        <w:rPr>
          <w:rFonts w:ascii="Times New Roman" w:hAnsi="Times New Roman"/>
          <w:sz w:val="28"/>
          <w:szCs w:val="28"/>
        </w:rPr>
        <w:t>ення</w:t>
      </w:r>
      <w:r w:rsidRPr="00C910E3">
        <w:rPr>
          <w:rFonts w:ascii="Times New Roman" w:hAnsi="Times New Roman"/>
          <w:sz w:val="28"/>
          <w:szCs w:val="28"/>
        </w:rPr>
        <w:t xml:space="preserve"> частков</w:t>
      </w:r>
      <w:r>
        <w:rPr>
          <w:rFonts w:ascii="Times New Roman" w:hAnsi="Times New Roman"/>
          <w:sz w:val="28"/>
          <w:szCs w:val="28"/>
        </w:rPr>
        <w:t xml:space="preserve">ої </w:t>
      </w:r>
      <w:proofErr w:type="spellStart"/>
      <w:r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C910E3">
        <w:rPr>
          <w:rFonts w:ascii="Times New Roman" w:hAnsi="Times New Roman"/>
          <w:sz w:val="28"/>
          <w:szCs w:val="28"/>
        </w:rPr>
        <w:t xml:space="preserve">), роздрібна ціна за упаковку та інша інформація згідно із затвердженою МОЗ формою Реєстру. Для лікарських засобів, які зазначені в розділі </w:t>
      </w: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>Ревматичні хвороби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910E3">
        <w:rPr>
          <w:rFonts w:ascii="Times New Roman" w:hAnsi="Times New Roman"/>
          <w:sz w:val="28"/>
          <w:szCs w:val="28"/>
        </w:rPr>
        <w:t>ереліку міжнародних непатентованих назв лікарських засобів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розмір </w:t>
      </w:r>
      <w:proofErr w:type="spellStart"/>
      <w:r w:rsidRPr="00C910E3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C910E3">
        <w:rPr>
          <w:rFonts w:ascii="Times New Roman" w:hAnsi="Times New Roman"/>
          <w:sz w:val="28"/>
          <w:szCs w:val="28"/>
        </w:rPr>
        <w:t xml:space="preserve"> за упаковку </w:t>
      </w:r>
      <w:r>
        <w:rPr>
          <w:rFonts w:ascii="Times New Roman" w:hAnsi="Times New Roman"/>
          <w:sz w:val="28"/>
          <w:szCs w:val="28"/>
        </w:rPr>
        <w:t>становить</w:t>
      </w:r>
      <w:r w:rsidRPr="00C9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910E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відсотків </w:t>
      </w:r>
      <w:r w:rsidRPr="00C910E3">
        <w:rPr>
          <w:rFonts w:ascii="Times New Roman" w:hAnsi="Times New Roman"/>
          <w:sz w:val="28"/>
          <w:szCs w:val="28"/>
        </w:rPr>
        <w:t>розрахованої роздрібної ціни за упаковку лікарського засобу (з урахуванням надбавок, податків і зборів).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>;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>абзац другий пункту 10 викласти в такій редакції: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 xml:space="preserve">Позачергове оновлення Реєстру здійснюється </w:t>
      </w:r>
      <w:r>
        <w:rPr>
          <w:rFonts w:ascii="Times New Roman" w:hAnsi="Times New Roman"/>
          <w:sz w:val="28"/>
          <w:szCs w:val="28"/>
        </w:rPr>
        <w:t>в</w:t>
      </w:r>
      <w:r w:rsidRPr="00C910E3">
        <w:rPr>
          <w:rFonts w:ascii="Times New Roman" w:hAnsi="Times New Roman"/>
          <w:sz w:val="28"/>
          <w:szCs w:val="28"/>
        </w:rPr>
        <w:t xml:space="preserve"> разі перерахунку граничних оптово-відпускних цін на лікарські засоби відповідно до</w:t>
      </w:r>
      <w:r>
        <w:rPr>
          <w:rFonts w:ascii="Times New Roman" w:hAnsi="Times New Roman"/>
          <w:sz w:val="28"/>
          <w:szCs w:val="28"/>
        </w:rPr>
        <w:t xml:space="preserve"> абзацу другого </w:t>
      </w:r>
      <w:hyperlink r:id="rId5" w:anchor="n13" w:tgtFrame="_blank" w:history="1">
        <w:r w:rsidRPr="006F726F">
          <w:rPr>
            <w:rFonts w:ascii="Times New Roman" w:hAnsi="Times New Roman"/>
            <w:sz w:val="28"/>
            <w:szCs w:val="28"/>
          </w:rPr>
          <w:t>пункту 5</w:t>
        </w:r>
      </w:hyperlink>
      <w:r w:rsidRPr="00C910E3"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9 листопада 2016 р. № 862 </w:t>
      </w: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>Про державне регулювання цін на лікарські засоби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(Офіційний вісник України, 2016 р., № 95,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0E3">
        <w:rPr>
          <w:rFonts w:ascii="Times New Roman" w:hAnsi="Times New Roman"/>
          <w:sz w:val="28"/>
          <w:szCs w:val="28"/>
        </w:rPr>
        <w:t xml:space="preserve">ст. 3102; 2017 р., № 26, ст. 749) та/або внесення змін до </w:t>
      </w:r>
      <w:r>
        <w:rPr>
          <w:rFonts w:ascii="Times New Roman" w:hAnsi="Times New Roman"/>
          <w:sz w:val="28"/>
          <w:szCs w:val="28"/>
        </w:rPr>
        <w:t>пе</w:t>
      </w:r>
      <w:r w:rsidRPr="00C910E3">
        <w:rPr>
          <w:rFonts w:ascii="Times New Roman" w:hAnsi="Times New Roman"/>
          <w:sz w:val="28"/>
          <w:szCs w:val="28"/>
        </w:rPr>
        <w:t>реліку міжнародних непатентованих назв лікарських засобів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910E3">
        <w:rPr>
          <w:rFonts w:ascii="Times New Roman" w:hAnsi="Times New Roman"/>
          <w:sz w:val="28"/>
          <w:szCs w:val="28"/>
        </w:rPr>
        <w:t xml:space="preserve">Позачергове оновлення Реєстру здійснюється відповідно до </w:t>
      </w:r>
      <w:hyperlink r:id="rId6" w:anchor="n191" w:history="1">
        <w:r w:rsidRPr="00C910E3">
          <w:rPr>
            <w:rFonts w:ascii="Times New Roman" w:hAnsi="Times New Roman"/>
          </w:rPr>
          <w:t>пунктів 7</w:t>
        </w:r>
        <w:r>
          <w:rPr>
            <w:rFonts w:ascii="Times New Roman" w:hAnsi="Times New Roman"/>
          </w:rPr>
          <w:t>—</w:t>
        </w:r>
        <w:r w:rsidRPr="00C910E3">
          <w:rPr>
            <w:rFonts w:ascii="Times New Roman" w:hAnsi="Times New Roman"/>
          </w:rPr>
          <w:t>9</w:t>
        </w:r>
      </w:hyperlink>
      <w:r w:rsidRPr="00C910E3">
        <w:rPr>
          <w:rFonts w:ascii="Times New Roman" w:hAnsi="Times New Roman"/>
          <w:sz w:val="28"/>
          <w:szCs w:val="28"/>
        </w:rPr>
        <w:t xml:space="preserve"> цього Порядку.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>;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>підпункт 2 пункту 11 викласти в такій редакції:</w:t>
      </w:r>
    </w:p>
    <w:p w:rsidR="004F4A6F" w:rsidRPr="00C910E3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 xml:space="preserve">2) коли заявлена оптово-відпускна ціна перевищує рівень граничної оптово-відпускної ціни, крім лікарських засобів, які зазначені в розділі </w:t>
      </w: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>Ревматичні хвороби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910E3">
        <w:rPr>
          <w:rFonts w:ascii="Times New Roman" w:hAnsi="Times New Roman"/>
          <w:sz w:val="28"/>
          <w:szCs w:val="28"/>
        </w:rPr>
        <w:t>ереліку міжнародних непатентованих назв лікарських засобів</w:t>
      </w:r>
      <w:r>
        <w:rPr>
          <w:rFonts w:ascii="Times New Roman" w:hAnsi="Times New Roman"/>
          <w:sz w:val="28"/>
          <w:szCs w:val="28"/>
        </w:rPr>
        <w:t>.”;</w:t>
      </w:r>
    </w:p>
    <w:p w:rsidR="004F4A6F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ab/>
        <w:t xml:space="preserve">2) </w:t>
      </w:r>
      <w:r>
        <w:rPr>
          <w:rFonts w:ascii="Times New Roman" w:hAnsi="Times New Roman"/>
          <w:sz w:val="28"/>
          <w:szCs w:val="28"/>
        </w:rPr>
        <w:t>п</w:t>
      </w:r>
      <w:r w:rsidRPr="00C910E3">
        <w:rPr>
          <w:rFonts w:ascii="Times New Roman" w:hAnsi="Times New Roman"/>
          <w:sz w:val="28"/>
          <w:szCs w:val="28"/>
        </w:rPr>
        <w:t>ерелік міжнародних непатентованих назв лікарських засобів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затверджений зазначеною постановою, викласти в такій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0E3">
        <w:rPr>
          <w:rFonts w:ascii="Times New Roman" w:hAnsi="Times New Roman"/>
          <w:sz w:val="28"/>
          <w:szCs w:val="28"/>
        </w:rPr>
        <w:t>редакції:</w:t>
      </w:r>
    </w:p>
    <w:p w:rsidR="004F4A6F" w:rsidRDefault="004F4A6F" w:rsidP="004C5561">
      <w:pPr>
        <w:pStyle w:val="a6"/>
        <w:tabs>
          <w:tab w:val="left" w:pos="2977"/>
        </w:tabs>
        <w:spacing w:before="0" w:after="0"/>
        <w:ind w:left="36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ab/>
      </w:r>
      <w:r>
        <w:rPr>
          <w:rFonts w:ascii="Times New Roman" w:hAnsi="Times New Roman"/>
          <w:b w:val="0"/>
          <w:sz w:val="28"/>
          <w:szCs w:val="28"/>
        </w:rPr>
        <w:tab/>
      </w:r>
    </w:p>
    <w:p w:rsidR="004F4A6F" w:rsidRDefault="004F4A6F" w:rsidP="004C5561">
      <w:pPr>
        <w:pStyle w:val="a6"/>
        <w:tabs>
          <w:tab w:val="left" w:pos="2977"/>
        </w:tabs>
        <w:spacing w:before="0" w:after="0"/>
        <w:ind w:left="36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Pr="00B04266">
        <w:rPr>
          <w:rFonts w:ascii="Times New Roman" w:hAnsi="Times New Roman"/>
          <w:b w:val="0"/>
          <w:sz w:val="28"/>
          <w:szCs w:val="28"/>
        </w:rPr>
        <w:t>“</w:t>
      </w:r>
      <w:r w:rsidRPr="004C5561">
        <w:rPr>
          <w:rFonts w:ascii="Times New Roman" w:hAnsi="Times New Roman"/>
          <w:b w:val="0"/>
          <w:sz w:val="28"/>
          <w:szCs w:val="28"/>
        </w:rPr>
        <w:t>ЗАТВЕРДЖЕНО</w:t>
      </w:r>
      <w:r w:rsidRPr="004C5561">
        <w:rPr>
          <w:rFonts w:ascii="Times New Roman" w:hAnsi="Times New Roman"/>
          <w:b w:val="0"/>
          <w:sz w:val="28"/>
          <w:szCs w:val="28"/>
        </w:rPr>
        <w:br/>
        <w:t>постановою Кабінету Міністрів України</w:t>
      </w:r>
    </w:p>
    <w:p w:rsidR="004F4A6F" w:rsidRDefault="004F4A6F" w:rsidP="004C5561">
      <w:pPr>
        <w:pStyle w:val="a6"/>
        <w:tabs>
          <w:tab w:val="left" w:pos="2977"/>
        </w:tabs>
        <w:spacing w:before="0" w:after="0"/>
        <w:ind w:left="36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4C5561">
        <w:rPr>
          <w:rFonts w:ascii="Times New Roman" w:hAnsi="Times New Roman"/>
          <w:b w:val="0"/>
          <w:sz w:val="28"/>
          <w:szCs w:val="28"/>
        </w:rPr>
        <w:t xml:space="preserve">від </w:t>
      </w:r>
      <w:r>
        <w:rPr>
          <w:rFonts w:ascii="Times New Roman" w:hAnsi="Times New Roman"/>
          <w:b w:val="0"/>
          <w:sz w:val="28"/>
          <w:szCs w:val="28"/>
        </w:rPr>
        <w:t xml:space="preserve">17 березня </w:t>
      </w:r>
      <w:r w:rsidRPr="004C5561">
        <w:rPr>
          <w:rFonts w:ascii="Times New Roman" w:hAnsi="Times New Roman"/>
          <w:b w:val="0"/>
          <w:sz w:val="28"/>
          <w:szCs w:val="28"/>
        </w:rPr>
        <w:t>2020 р. №</w:t>
      </w:r>
      <w:r>
        <w:rPr>
          <w:rFonts w:ascii="Times New Roman" w:hAnsi="Times New Roman"/>
          <w:b w:val="0"/>
          <w:sz w:val="28"/>
          <w:szCs w:val="28"/>
        </w:rPr>
        <w:t xml:space="preserve"> 152</w:t>
      </w:r>
    </w:p>
    <w:p w:rsidR="004F4A6F" w:rsidRDefault="004F4A6F" w:rsidP="00020F9F">
      <w:pPr>
        <w:pStyle w:val="a6"/>
        <w:tabs>
          <w:tab w:val="left" w:pos="2977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 CYR" w:hAnsi="Times New Roman CYR"/>
          <w:b w:val="0"/>
          <w:sz w:val="28"/>
          <w:szCs w:val="28"/>
        </w:rPr>
        <w:tab/>
      </w:r>
      <w:r w:rsidRPr="00020F9F">
        <w:rPr>
          <w:rFonts w:ascii="Times New Roman CYR" w:hAnsi="Times New Roman CYR"/>
          <w:b w:val="0"/>
          <w:sz w:val="28"/>
          <w:szCs w:val="28"/>
        </w:rPr>
        <w:t xml:space="preserve">(в редакції </w:t>
      </w:r>
      <w:r>
        <w:rPr>
          <w:rFonts w:ascii="Times New Roman" w:hAnsi="Times New Roman"/>
          <w:b w:val="0"/>
          <w:sz w:val="28"/>
          <w:szCs w:val="28"/>
        </w:rPr>
        <w:t>постанови</w:t>
      </w:r>
      <w:r w:rsidRPr="004C5561">
        <w:rPr>
          <w:rFonts w:ascii="Times New Roman" w:hAnsi="Times New Roman"/>
          <w:b w:val="0"/>
          <w:sz w:val="28"/>
          <w:szCs w:val="28"/>
        </w:rPr>
        <w:t xml:space="preserve"> Кабінету Міністрів України</w:t>
      </w:r>
    </w:p>
    <w:p w:rsidR="004F4A6F" w:rsidRPr="00C910E3" w:rsidRDefault="004F4A6F" w:rsidP="00C17D87">
      <w:pPr>
        <w:pStyle w:val="ShapkaDocumentu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15 квітня </w:t>
      </w:r>
      <w:r w:rsidRPr="00C910E3">
        <w:rPr>
          <w:rFonts w:ascii="Times New Roman" w:hAnsi="Times New Roman"/>
          <w:sz w:val="28"/>
          <w:szCs w:val="28"/>
        </w:rPr>
        <w:t xml:space="preserve">2020 р. № </w:t>
      </w:r>
      <w:r>
        <w:rPr>
          <w:rFonts w:ascii="Times New Roman" w:hAnsi="Times New Roman"/>
          <w:sz w:val="28"/>
          <w:szCs w:val="28"/>
        </w:rPr>
        <w:t>286)</w:t>
      </w:r>
    </w:p>
    <w:p w:rsidR="004F4A6F" w:rsidRPr="00C910E3" w:rsidRDefault="004F4A6F" w:rsidP="00C910E3">
      <w:pPr>
        <w:pStyle w:val="a6"/>
        <w:rPr>
          <w:rFonts w:ascii="Times New Roman" w:hAnsi="Times New Roman"/>
          <w:b w:val="0"/>
          <w:sz w:val="28"/>
        </w:rPr>
      </w:pPr>
      <w:r w:rsidRPr="00C910E3">
        <w:rPr>
          <w:rFonts w:ascii="Times New Roman" w:hAnsi="Times New Roman"/>
          <w:b w:val="0"/>
          <w:sz w:val="28"/>
        </w:rPr>
        <w:t>ПЕРЕЛІК</w:t>
      </w:r>
      <w:r>
        <w:rPr>
          <w:rFonts w:ascii="Times New Roman" w:hAnsi="Times New Roman"/>
          <w:b w:val="0"/>
          <w:sz w:val="28"/>
        </w:rPr>
        <w:br/>
      </w:r>
      <w:r w:rsidRPr="00C910E3">
        <w:rPr>
          <w:rFonts w:ascii="Times New Roman" w:hAnsi="Times New Roman"/>
          <w:b w:val="0"/>
          <w:sz w:val="28"/>
        </w:rPr>
        <w:t>міжнародних непатентованих назв лікарських засобів</w:t>
      </w:r>
    </w:p>
    <w:tbl>
      <w:tblPr>
        <w:tblW w:w="9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9"/>
        <w:gridCol w:w="4196"/>
      </w:tblGrid>
      <w:tr w:rsidR="004F4A6F" w:rsidRPr="00C910E3" w:rsidTr="00C910E3">
        <w:trPr>
          <w:tblHeader/>
        </w:trPr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Міжнародна непатентована назва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</w:tr>
      <w:tr w:rsidR="004F4A6F" w:rsidRPr="00C910E3" w:rsidTr="00C910E3">
        <w:tc>
          <w:tcPr>
            <w:tcW w:w="9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Серцево-судинні захворювання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Аміодарон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Amiodarone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rPr>
          <w:trHeight w:val="360"/>
        </w:trPr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Амлодипін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Amlodipine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Атенолол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Atenolol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Бісопролол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Bisoprolol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Верапаміл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Verapamil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Гідрохлортіазид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Hydrochlorothiazide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Дигоксин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Digoxin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таблетки, розчин оральний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Еналаприл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Enalapril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Ізосорбіду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динітрат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Isosorbide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dinitrate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сублінгвальні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Карведилол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Carvedilol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Клопідогрель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Clopidogrel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Лозартан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Losartan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Метопролол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Metoprolol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Нітрогліцерин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Glyceryl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trinitrate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сублінгвальні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Симвастатин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Simvastatin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Спіронолактон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Spironolactone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Фуросемід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Furosemide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9585" w:type="dxa"/>
            <w:gridSpan w:val="2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Цукровий діабет II типу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Глібенкламід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Glibenclamide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Гліклазид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Gliclazide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Метформін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Metformin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9585" w:type="dxa"/>
            <w:gridSpan w:val="2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Бронхіальна астма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Беклометазон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Beclometasone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аерозоль для інгаляцій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Будесонід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Budesonide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 xml:space="preserve">порошок для інгаляцій дозований, суспензія для </w:t>
            </w:r>
            <w:r w:rsidRPr="00C910E3">
              <w:rPr>
                <w:rFonts w:ascii="Times New Roman" w:hAnsi="Times New Roman"/>
                <w:sz w:val="28"/>
                <w:szCs w:val="28"/>
              </w:rPr>
              <w:lastRenderedPageBreak/>
              <w:t>розпилення</w:t>
            </w:r>
          </w:p>
        </w:tc>
      </w:tr>
      <w:tr w:rsidR="004F4A6F" w:rsidRPr="00C910E3" w:rsidTr="00C910E3">
        <w:tc>
          <w:tcPr>
            <w:tcW w:w="5389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lastRenderedPageBreak/>
              <w:t>Сальбутамол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Salbutamol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аерозоль для інгаляцій, розчин для інгаляцій</w:t>
            </w:r>
          </w:p>
        </w:tc>
      </w:tr>
      <w:tr w:rsidR="004F4A6F" w:rsidRPr="00C910E3" w:rsidTr="00C910E3">
        <w:tc>
          <w:tcPr>
            <w:tcW w:w="9585" w:type="dxa"/>
            <w:gridSpan w:val="2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Ревматичні хвороби</w:t>
            </w:r>
          </w:p>
        </w:tc>
      </w:tr>
      <w:tr w:rsidR="004F4A6F" w:rsidRPr="00C910E3" w:rsidTr="00C910E3">
        <w:tc>
          <w:tcPr>
            <w:tcW w:w="5389" w:type="dxa"/>
            <w:hideMark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Хлорохін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Chloroquine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)*</w:t>
            </w:r>
          </w:p>
        </w:tc>
        <w:tc>
          <w:tcPr>
            <w:tcW w:w="4196" w:type="dxa"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389" w:type="dxa"/>
            <w:hideMark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Гідроксихлорохін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Hydroxychloroquine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)* </w:t>
            </w:r>
          </w:p>
        </w:tc>
        <w:tc>
          <w:tcPr>
            <w:tcW w:w="4196" w:type="dxa"/>
            <w:hideMark/>
          </w:tcPr>
          <w:p w:rsidR="004F4A6F" w:rsidRPr="00C910E3" w:rsidRDefault="004F4A6F" w:rsidP="00C910E3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</w:tbl>
    <w:p w:rsidR="004F4A6F" w:rsidRPr="00C910E3" w:rsidRDefault="004F4A6F" w:rsidP="00C910E3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C910E3">
        <w:rPr>
          <w:rFonts w:ascii="Times New Roman" w:hAnsi="Times New Roman"/>
          <w:sz w:val="24"/>
          <w:szCs w:val="24"/>
        </w:rPr>
        <w:t>___________</w:t>
      </w:r>
    </w:p>
    <w:p w:rsidR="004F4A6F" w:rsidRPr="00C910E3" w:rsidRDefault="004F4A6F" w:rsidP="00C910E3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C910E3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Г</w:t>
      </w:r>
      <w:r w:rsidRPr="00C910E3">
        <w:rPr>
          <w:rFonts w:ascii="Times New Roman" w:hAnsi="Times New Roman"/>
          <w:sz w:val="24"/>
          <w:szCs w:val="24"/>
        </w:rPr>
        <w:t xml:space="preserve">раничні оптові-відпускні ціни </w:t>
      </w:r>
      <w:r>
        <w:rPr>
          <w:rFonts w:ascii="Times New Roman" w:hAnsi="Times New Roman"/>
          <w:sz w:val="24"/>
          <w:szCs w:val="24"/>
        </w:rPr>
        <w:t>на зазначені</w:t>
      </w:r>
      <w:r w:rsidRPr="00C910E3">
        <w:rPr>
          <w:rFonts w:ascii="Times New Roman" w:hAnsi="Times New Roman"/>
          <w:sz w:val="24"/>
          <w:szCs w:val="24"/>
        </w:rPr>
        <w:t xml:space="preserve"> міжнародні непатент</w:t>
      </w:r>
      <w:r>
        <w:rPr>
          <w:rFonts w:ascii="Times New Roman" w:hAnsi="Times New Roman"/>
          <w:sz w:val="24"/>
          <w:szCs w:val="24"/>
        </w:rPr>
        <w:t xml:space="preserve">овані назви лікарських засобів </w:t>
      </w:r>
      <w:r w:rsidRPr="00C910E3">
        <w:rPr>
          <w:rFonts w:ascii="Times New Roman" w:hAnsi="Times New Roman"/>
          <w:sz w:val="24"/>
          <w:szCs w:val="24"/>
        </w:rPr>
        <w:t xml:space="preserve">не підлягають розрахунку відповідно до вимог постанов Кабінету Міністрів України від 9 листопада 2016 р. № 862 “Про державне регулювання цін на лікарські засоби” (Офіційний вісник України, 2016 р., № 95, </w:t>
      </w:r>
      <w:r>
        <w:rPr>
          <w:rFonts w:ascii="Times New Roman" w:hAnsi="Times New Roman"/>
          <w:sz w:val="24"/>
          <w:szCs w:val="24"/>
        </w:rPr>
        <w:t>ст. </w:t>
      </w:r>
      <w:r w:rsidRPr="00C910E3">
        <w:rPr>
          <w:rFonts w:ascii="Times New Roman" w:hAnsi="Times New Roman"/>
          <w:sz w:val="24"/>
          <w:szCs w:val="24"/>
        </w:rPr>
        <w:t>3102</w:t>
      </w:r>
      <w:r>
        <w:rPr>
          <w:rFonts w:ascii="Times New Roman" w:hAnsi="Times New Roman"/>
          <w:sz w:val="24"/>
          <w:szCs w:val="24"/>
        </w:rPr>
        <w:t>)</w:t>
      </w:r>
      <w:r w:rsidRPr="00FB0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C910E3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 xml:space="preserve">17 березня 2017 р. № 152 </w:t>
      </w:r>
      <w:r w:rsidRPr="00C910E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Про забезпечення доступності лікарських засобів</w:t>
      </w:r>
      <w:r w:rsidRPr="003F03DD">
        <w:rPr>
          <w:rFonts w:ascii="Times New Roman" w:hAnsi="Times New Roman"/>
          <w:sz w:val="24"/>
          <w:szCs w:val="24"/>
        </w:rPr>
        <w:t xml:space="preserve">” (Офіційний вісник </w:t>
      </w:r>
      <w:r>
        <w:rPr>
          <w:rFonts w:ascii="Times New Roman" w:hAnsi="Times New Roman"/>
          <w:sz w:val="24"/>
          <w:szCs w:val="24"/>
        </w:rPr>
        <w:t>України, 2017 р., № 26, ст. 749).</w:t>
      </w:r>
      <w:r w:rsidRPr="00C910E3">
        <w:rPr>
          <w:rFonts w:ascii="Times New Roman" w:hAnsi="Times New Roman"/>
          <w:sz w:val="24"/>
          <w:szCs w:val="24"/>
        </w:rPr>
        <w:t>”.</w:t>
      </w:r>
    </w:p>
    <w:p w:rsidR="004F4A6F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910E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</w:t>
      </w:r>
      <w:r w:rsidRPr="00C910E3">
        <w:rPr>
          <w:rFonts w:ascii="Times New Roman" w:hAnsi="Times New Roman"/>
          <w:sz w:val="28"/>
          <w:szCs w:val="28"/>
        </w:rPr>
        <w:t xml:space="preserve">ункт 117 Порядку реалізації програми державних гарантій медичного обслуговування населення у 2020 році, затвердженого постановою </w:t>
      </w:r>
      <w:r>
        <w:rPr>
          <w:rFonts w:ascii="Times New Roman" w:hAnsi="Times New Roman"/>
          <w:sz w:val="28"/>
          <w:szCs w:val="28"/>
        </w:rPr>
        <w:t xml:space="preserve">Кабінету Міністрів України від </w:t>
      </w:r>
      <w:r w:rsidRPr="00C910E3">
        <w:rPr>
          <w:rFonts w:ascii="Times New Roman" w:hAnsi="Times New Roman"/>
          <w:sz w:val="28"/>
          <w:szCs w:val="28"/>
        </w:rPr>
        <w:t xml:space="preserve">5 лютого 2020 р. № 65 </w:t>
      </w: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>Деякі питання реалізації програми державних гарантій медичного обслуговування населення у 2020 році</w:t>
      </w:r>
      <w:r>
        <w:rPr>
          <w:rFonts w:ascii="Times New Roman" w:hAnsi="Times New Roman"/>
          <w:sz w:val="28"/>
          <w:szCs w:val="28"/>
        </w:rPr>
        <w:t>”</w:t>
      </w:r>
      <w:r w:rsidRPr="00C910E3">
        <w:rPr>
          <w:rFonts w:ascii="Times New Roman" w:hAnsi="Times New Roman"/>
          <w:sz w:val="28"/>
          <w:szCs w:val="28"/>
        </w:rPr>
        <w:t xml:space="preserve"> (Офіційний вісник України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910E3">
        <w:rPr>
          <w:rFonts w:ascii="Times New Roman" w:hAnsi="Times New Roman"/>
          <w:sz w:val="28"/>
          <w:szCs w:val="28"/>
        </w:rPr>
        <w:t>2020 р.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№ 18, ст. 688)</w:t>
      </w:r>
      <w:r>
        <w:rPr>
          <w:rFonts w:ascii="Times New Roman" w:hAnsi="Times New Roman"/>
          <w:sz w:val="28"/>
          <w:szCs w:val="28"/>
        </w:rPr>
        <w:t>,</w:t>
      </w:r>
      <w:r w:rsidRPr="00C910E3">
        <w:rPr>
          <w:rFonts w:ascii="Times New Roman" w:hAnsi="Times New Roman"/>
          <w:sz w:val="28"/>
          <w:szCs w:val="28"/>
        </w:rPr>
        <w:t xml:space="preserve"> викласти в такій редакції:</w:t>
      </w:r>
    </w:p>
    <w:p w:rsidR="004F4A6F" w:rsidRDefault="004F4A6F" w:rsidP="00C910E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C910E3">
        <w:rPr>
          <w:rFonts w:ascii="Times New Roman" w:hAnsi="Times New Roman"/>
          <w:sz w:val="28"/>
          <w:szCs w:val="28"/>
        </w:rPr>
        <w:t xml:space="preserve">117. НСЗУ в межах програми медичних гарантій укладає договори про </w:t>
      </w:r>
      <w:proofErr w:type="spellStart"/>
      <w:r w:rsidRPr="00C910E3">
        <w:rPr>
          <w:rFonts w:ascii="Times New Roman" w:hAnsi="Times New Roman"/>
          <w:sz w:val="28"/>
          <w:szCs w:val="28"/>
        </w:rPr>
        <w:t>реімбурсацію</w:t>
      </w:r>
      <w:proofErr w:type="spellEnd"/>
      <w:r w:rsidRPr="00C910E3">
        <w:rPr>
          <w:rFonts w:ascii="Times New Roman" w:hAnsi="Times New Roman"/>
          <w:sz w:val="28"/>
          <w:szCs w:val="28"/>
        </w:rPr>
        <w:t xml:space="preserve"> таких лікарських засобів для лікування в амбулаторних умовах серцево-судинних захворювань, цукрового діабету II типу, бронхіальної астми та ревматичних хвороб:</w:t>
      </w: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1"/>
        <w:gridCol w:w="3403"/>
      </w:tblGrid>
      <w:tr w:rsidR="004F4A6F" w:rsidRPr="00C910E3" w:rsidTr="00C910E3">
        <w:trPr>
          <w:tblHeader/>
        </w:trPr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A6F" w:rsidRPr="00C910E3" w:rsidRDefault="004F4A6F" w:rsidP="00C910E3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Міжнародна непатентована назва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4A6F" w:rsidRPr="00C910E3" w:rsidRDefault="004F4A6F" w:rsidP="00C910E3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</w:tr>
      <w:tr w:rsidR="004F4A6F" w:rsidRPr="00C910E3" w:rsidTr="00C910E3"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A6F" w:rsidRPr="00C910E3" w:rsidRDefault="004F4A6F" w:rsidP="00C910E3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Серцево-судинні захворювання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C910E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Аміодарон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Amiodarone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C910E3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rPr>
          <w:trHeight w:val="360"/>
        </w:trPr>
        <w:tc>
          <w:tcPr>
            <w:tcW w:w="5811" w:type="dxa"/>
          </w:tcPr>
          <w:p w:rsidR="004F4A6F" w:rsidRPr="00C910E3" w:rsidRDefault="004F4A6F" w:rsidP="00C910E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Амлодипін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Amlodipine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C910E3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C910E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Атенолол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Atenolol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C910E3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Бісопролол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Bisoprolol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Верапаміл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Verapamil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Гідрохлортіазид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Hydrochlorothiazide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Дигоксин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Digoxin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таблетки, розчин оральний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Еналаприл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Enalapril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Ізосорбіду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динітрат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Isosorbide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dinitrate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сублінгвальні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Карведилол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Carvedilol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Клопідогрель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Clopidogrel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lastRenderedPageBreak/>
              <w:t>Лозартан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Losartan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Метопролол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Metoprolol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Нітрогліцерин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Glyceryl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trinitrate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сублінгвальні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Симвастатин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Simvastatin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Спіронолактон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Spironolactone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Фуросемід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Furosemide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9214" w:type="dxa"/>
            <w:gridSpan w:val="2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Цукровий діабет II типу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Глібенкламід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Glibenclamide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Гліклазид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Gliclazide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Метформін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Metformin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4F4A6F" w:rsidRPr="00C910E3" w:rsidTr="00C910E3">
        <w:tc>
          <w:tcPr>
            <w:tcW w:w="9214" w:type="dxa"/>
            <w:gridSpan w:val="2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Бронхіальна астма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Беклометазон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Beclometasone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аерозоль для інгаляцій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Будесонід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Budesonide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порошок для інгаляцій дозований, суспензія для розпилення</w:t>
            </w:r>
          </w:p>
        </w:tc>
      </w:tr>
      <w:tr w:rsidR="004F4A6F" w:rsidRPr="00C910E3" w:rsidTr="00C910E3">
        <w:tc>
          <w:tcPr>
            <w:tcW w:w="5811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Сальбутамол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Salbutamol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аерозоль для інгаляцій, розчин для інгаляцій</w:t>
            </w:r>
          </w:p>
        </w:tc>
      </w:tr>
      <w:tr w:rsidR="004F4A6F" w:rsidRPr="00C910E3" w:rsidTr="00C910E3">
        <w:tc>
          <w:tcPr>
            <w:tcW w:w="9214" w:type="dxa"/>
            <w:gridSpan w:val="2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Ревматичні хвороби</w:t>
            </w:r>
          </w:p>
        </w:tc>
      </w:tr>
      <w:tr w:rsidR="004F4A6F" w:rsidRPr="00C910E3" w:rsidTr="00C910E3">
        <w:tc>
          <w:tcPr>
            <w:tcW w:w="5811" w:type="dxa"/>
            <w:hideMark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Хлорохін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Chloroquine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3" w:type="dxa"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0E3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4F4A6F" w:rsidRPr="00C910E3" w:rsidTr="00C910E3">
        <w:tc>
          <w:tcPr>
            <w:tcW w:w="5811" w:type="dxa"/>
            <w:hideMark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Гідроксихлорохін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0E3">
              <w:rPr>
                <w:rFonts w:ascii="Times New Roman" w:hAnsi="Times New Roman"/>
                <w:sz w:val="28"/>
                <w:szCs w:val="28"/>
              </w:rPr>
              <w:t>Hydroxychloroquine</w:t>
            </w:r>
            <w:proofErr w:type="spellEnd"/>
            <w:r w:rsidRPr="00C910E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403" w:type="dxa"/>
            <w:hideMark/>
          </w:tcPr>
          <w:p w:rsidR="004F4A6F" w:rsidRPr="00C910E3" w:rsidRDefault="004F4A6F" w:rsidP="0016760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—“—”.</w:t>
            </w:r>
          </w:p>
        </w:tc>
      </w:tr>
    </w:tbl>
    <w:p w:rsidR="004F4A6F" w:rsidRPr="00813211" w:rsidRDefault="004F4A6F" w:rsidP="00167604">
      <w:pPr>
        <w:pStyle w:val="3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4F4A6F" w:rsidRDefault="004F4A6F">
      <w:bookmarkStart w:id="0" w:name="_GoBack"/>
      <w:bookmarkEnd w:id="0"/>
    </w:p>
    <w:sectPr w:rsidR="004F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A2"/>
    <w:rsid w:val="000161A2"/>
    <w:rsid w:val="00166CDB"/>
    <w:rsid w:val="004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4A6F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61A2"/>
    <w:rPr>
      <w:b/>
      <w:bCs/>
    </w:rPr>
  </w:style>
  <w:style w:type="paragraph" w:styleId="a4">
    <w:name w:val="Normal (Web)"/>
    <w:basedOn w:val="a"/>
    <w:uiPriority w:val="99"/>
    <w:semiHidden/>
    <w:unhideWhenUsed/>
    <w:rsid w:val="0001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4A6F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F4A6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F4A6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F4A6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4A6F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61A2"/>
    <w:rPr>
      <w:b/>
      <w:bCs/>
    </w:rPr>
  </w:style>
  <w:style w:type="paragraph" w:styleId="a4">
    <w:name w:val="Normal (Web)"/>
    <w:basedOn w:val="a"/>
    <w:uiPriority w:val="99"/>
    <w:semiHidden/>
    <w:unhideWhenUsed/>
    <w:rsid w:val="0001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4A6F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F4A6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F4A6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F4A6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0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4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166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05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24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1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90834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1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8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64472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6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52-2017-%D0%BF" TargetMode="External"/><Relationship Id="rId5" Type="http://schemas.openxmlformats.org/officeDocument/2006/relationships/hyperlink" Target="https://zakon.rada.gov.ua/laws/show/862-2016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2020-04-22T11:00:00Z</dcterms:created>
  <dcterms:modified xsi:type="dcterms:W3CDTF">2020-04-22T11:01:00Z</dcterms:modified>
</cp:coreProperties>
</file>