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E7" w:rsidRPr="003054E7" w:rsidRDefault="003054E7" w:rsidP="003054E7">
      <w:pPr>
        <w:shd w:val="clear" w:color="auto" w:fill="FFFFFF"/>
        <w:spacing w:after="150" w:line="240" w:lineRule="auto"/>
        <w:jc w:val="center"/>
        <w:outlineLvl w:val="1"/>
        <w:rPr>
          <w:rFonts w:ascii="Times New Roman" w:eastAsia="Times New Roman" w:hAnsi="Times New Roman" w:cs="Times New Roman"/>
          <w:sz w:val="24"/>
          <w:szCs w:val="24"/>
          <w:lang w:eastAsia="ru-RU"/>
        </w:rPr>
      </w:pPr>
      <w:r w:rsidRPr="003054E7">
        <w:rPr>
          <w:rFonts w:ascii="Times New Roman" w:eastAsia="Times New Roman" w:hAnsi="Times New Roman" w:cs="Times New Roman"/>
          <w:b/>
          <w:bCs/>
          <w:sz w:val="24"/>
          <w:szCs w:val="24"/>
          <w:lang w:eastAsia="ru-RU"/>
        </w:rPr>
        <w:t>МІНІСТЕРСТВО ОХОРОНИ ЗДОРОВ’Я УКРАЇНИ</w:t>
      </w:r>
    </w:p>
    <w:p w:rsidR="003054E7" w:rsidRPr="003054E7" w:rsidRDefault="003054E7" w:rsidP="003054E7">
      <w:pPr>
        <w:shd w:val="clear" w:color="auto" w:fill="FFFFFF"/>
        <w:spacing w:after="150" w:line="240" w:lineRule="auto"/>
        <w:jc w:val="center"/>
        <w:outlineLvl w:val="1"/>
        <w:rPr>
          <w:rFonts w:ascii="Times New Roman" w:eastAsia="Times New Roman" w:hAnsi="Times New Roman" w:cs="Times New Roman"/>
          <w:sz w:val="24"/>
          <w:szCs w:val="24"/>
          <w:lang w:eastAsia="ru-RU"/>
        </w:rPr>
      </w:pPr>
      <w:r w:rsidRPr="003054E7">
        <w:rPr>
          <w:rFonts w:ascii="Times New Roman" w:eastAsia="Times New Roman" w:hAnsi="Times New Roman" w:cs="Times New Roman"/>
          <w:b/>
          <w:bCs/>
          <w:sz w:val="24"/>
          <w:szCs w:val="24"/>
          <w:lang w:eastAsia="ru-RU"/>
        </w:rPr>
        <w:t>НАКАЗ</w:t>
      </w:r>
    </w:p>
    <w:p w:rsidR="003054E7" w:rsidRPr="003054E7" w:rsidRDefault="003054E7" w:rsidP="003054E7">
      <w:pPr>
        <w:shd w:val="clear" w:color="auto" w:fill="FFFFFF"/>
        <w:spacing w:after="150" w:line="240" w:lineRule="auto"/>
        <w:jc w:val="center"/>
        <w:outlineLvl w:val="1"/>
        <w:rPr>
          <w:rFonts w:ascii="Times New Roman" w:eastAsia="Times New Roman" w:hAnsi="Times New Roman" w:cs="Times New Roman"/>
          <w:sz w:val="24"/>
          <w:szCs w:val="24"/>
          <w:lang w:eastAsia="ru-RU"/>
        </w:rPr>
      </w:pPr>
      <w:r w:rsidRPr="003054E7">
        <w:rPr>
          <w:rFonts w:ascii="Times New Roman" w:eastAsia="Times New Roman" w:hAnsi="Times New Roman" w:cs="Times New Roman"/>
          <w:b/>
          <w:bCs/>
          <w:sz w:val="24"/>
          <w:szCs w:val="24"/>
          <w:lang w:eastAsia="ru-RU"/>
        </w:rPr>
        <w:t>від 27.06.2019 № 1528</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b/>
          <w:bCs/>
          <w:sz w:val="24"/>
          <w:szCs w:val="24"/>
          <w:lang w:eastAsia="ru-RU"/>
        </w:rPr>
        <w:t>Зареєстровано в Міністерстві юстиції України</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b/>
          <w:bCs/>
          <w:sz w:val="24"/>
          <w:szCs w:val="24"/>
          <w:lang w:eastAsia="ru-RU"/>
        </w:rPr>
        <w:t>12 липня 2019 р. за № 778/33749</w:t>
      </w:r>
    </w:p>
    <w:p w:rsidR="003054E7" w:rsidRPr="003054E7" w:rsidRDefault="003054E7" w:rsidP="003054E7">
      <w:pPr>
        <w:shd w:val="clear" w:color="auto" w:fill="FFFFFF"/>
        <w:spacing w:after="150" w:line="240" w:lineRule="auto"/>
        <w:jc w:val="center"/>
        <w:outlineLvl w:val="1"/>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Про затвердження змін до Порядку проведення експертизи реєстраційних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Відповідно до статті 9 Закону України «Про лікарські засоби», пункту 8 Положення про Міністерство охорони здоров’я України, затвердженого постановою Кабінету Міні</w:t>
      </w:r>
      <w:proofErr w:type="gramStart"/>
      <w:r w:rsidRPr="003054E7">
        <w:rPr>
          <w:rFonts w:ascii="Times New Roman" w:eastAsia="Times New Roman" w:hAnsi="Times New Roman" w:cs="Times New Roman"/>
          <w:sz w:val="24"/>
          <w:szCs w:val="24"/>
          <w:lang w:eastAsia="ru-RU"/>
        </w:rPr>
        <w:t>стр</w:t>
      </w:r>
      <w:proofErr w:type="gramEnd"/>
      <w:r w:rsidRPr="003054E7">
        <w:rPr>
          <w:rFonts w:ascii="Times New Roman" w:eastAsia="Times New Roman" w:hAnsi="Times New Roman" w:cs="Times New Roman"/>
          <w:sz w:val="24"/>
          <w:szCs w:val="24"/>
          <w:lang w:eastAsia="ru-RU"/>
        </w:rPr>
        <w:t>ів України від 25 березня 2015 року № 267,</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b/>
          <w:bCs/>
          <w:sz w:val="24"/>
          <w:szCs w:val="24"/>
          <w:lang w:eastAsia="ru-RU"/>
        </w:rPr>
        <w:t>НАКАЗУЮ:</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 Затвердити Зміни до Порядку проведення експертизи реєстраційних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Міністерства охорони здоров’я України від 26 серпня 2005 року № 426, зареєстрованим у Міністерстві юстиції України 19 вересня 2005 року за № 1069/11349 (у редакції наказу Міністерства охорони здоров’я України від 23 липня 2015 року № 460), що додаються.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 Фармацевтичному директорату (Комаріда О. О.) забезпечити в установленому порядку подання цього наказу на державну реєстрацію до Міністерства юстиції України.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3. Контроль за виконанням цього наказу покласти на заступника Міністра Ілика Р. Р.</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4. Цей наказ набирає чинності з дня його офіційного опублікування.</w:t>
      </w:r>
    </w:p>
    <w:p w:rsidR="003054E7" w:rsidRPr="003054E7" w:rsidRDefault="003054E7" w:rsidP="003054E7">
      <w:pPr>
        <w:pBdr>
          <w:bottom w:val="single" w:sz="6" w:space="0" w:color="auto"/>
        </w:pBd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b/>
          <w:bCs/>
          <w:i/>
          <w:iCs/>
          <w:sz w:val="24"/>
          <w:szCs w:val="24"/>
          <w:lang w:eastAsia="ru-RU"/>
        </w:rPr>
        <w:t>В. о. МіністраУ. Супрун</w:t>
      </w:r>
    </w:p>
    <w:p w:rsidR="003054E7" w:rsidRPr="003054E7" w:rsidRDefault="003054E7" w:rsidP="003054E7">
      <w:pPr>
        <w:shd w:val="clear" w:color="auto" w:fill="FFFFFF"/>
        <w:spacing w:after="150" w:line="240" w:lineRule="auto"/>
        <w:rPr>
          <w:rFonts w:ascii="Times New Roman" w:eastAsia="Times New Roman" w:hAnsi="Times New Roman" w:cs="Times New Roman"/>
          <w:b/>
          <w:bCs/>
          <w:i/>
          <w:iCs/>
          <w:sz w:val="24"/>
          <w:szCs w:val="24"/>
          <w:lang w:eastAsia="ru-RU"/>
        </w:rPr>
      </w:pPr>
      <w:r w:rsidRPr="003054E7">
        <w:rPr>
          <w:rFonts w:ascii="Times New Roman" w:eastAsia="Times New Roman" w:hAnsi="Times New Roman" w:cs="Times New Roman"/>
          <w:b/>
          <w:bCs/>
          <w:i/>
          <w:iCs/>
          <w:sz w:val="24"/>
          <w:szCs w:val="24"/>
          <w:lang w:eastAsia="ru-RU"/>
        </w:rPr>
        <w:t>ПОГОДЖЕНО:</w:t>
      </w:r>
    </w:p>
    <w:p w:rsidR="003054E7" w:rsidRPr="003054E7" w:rsidRDefault="003054E7" w:rsidP="003054E7">
      <w:pPr>
        <w:shd w:val="clear" w:color="auto" w:fill="FFFFFF"/>
        <w:spacing w:after="150" w:line="240" w:lineRule="auto"/>
        <w:rPr>
          <w:rFonts w:ascii="Times New Roman" w:eastAsia="Times New Roman" w:hAnsi="Times New Roman" w:cs="Times New Roman"/>
          <w:b/>
          <w:bCs/>
          <w:i/>
          <w:iCs/>
          <w:sz w:val="24"/>
          <w:szCs w:val="24"/>
          <w:lang w:eastAsia="ru-RU"/>
        </w:rPr>
      </w:pPr>
      <w:r w:rsidRPr="003054E7">
        <w:rPr>
          <w:rFonts w:ascii="Times New Roman" w:eastAsia="Times New Roman" w:hAnsi="Times New Roman" w:cs="Times New Roman"/>
          <w:b/>
          <w:bCs/>
          <w:i/>
          <w:iCs/>
          <w:sz w:val="24"/>
          <w:szCs w:val="24"/>
          <w:lang w:eastAsia="ru-RU"/>
        </w:rPr>
        <w:t>Голова</w:t>
      </w:r>
      <w:proofErr w:type="gramStart"/>
      <w:r w:rsidRPr="003054E7">
        <w:rPr>
          <w:rFonts w:ascii="Times New Roman" w:eastAsia="Times New Roman" w:hAnsi="Times New Roman" w:cs="Times New Roman"/>
          <w:b/>
          <w:bCs/>
          <w:i/>
          <w:iCs/>
          <w:sz w:val="24"/>
          <w:szCs w:val="24"/>
          <w:lang w:eastAsia="ru-RU"/>
        </w:rPr>
        <w:t xml:space="preserve"> Д</w:t>
      </w:r>
      <w:proofErr w:type="gramEnd"/>
      <w:r w:rsidRPr="003054E7">
        <w:rPr>
          <w:rFonts w:ascii="Times New Roman" w:eastAsia="Times New Roman" w:hAnsi="Times New Roman" w:cs="Times New Roman"/>
          <w:b/>
          <w:bCs/>
          <w:i/>
          <w:iCs/>
          <w:sz w:val="24"/>
          <w:szCs w:val="24"/>
          <w:lang w:eastAsia="ru-RU"/>
        </w:rPr>
        <w:t>ержавної регуляторної служби України К. Ляпіна</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ЗАТВЕРДЖЕНО</w:t>
      </w:r>
      <w:r w:rsidRPr="003054E7">
        <w:rPr>
          <w:rFonts w:ascii="Times New Roman" w:eastAsia="Times New Roman" w:hAnsi="Times New Roman" w:cs="Times New Roman"/>
          <w:sz w:val="24"/>
          <w:szCs w:val="24"/>
          <w:lang w:eastAsia="ru-RU"/>
        </w:rPr>
        <w:br/>
        <w:t>Наказ Міністерства охорони здоров’я України</w:t>
      </w:r>
      <w:r w:rsidRPr="003054E7">
        <w:rPr>
          <w:rFonts w:ascii="Times New Roman" w:eastAsia="Times New Roman" w:hAnsi="Times New Roman" w:cs="Times New Roman"/>
          <w:sz w:val="24"/>
          <w:szCs w:val="24"/>
          <w:lang w:eastAsia="ru-RU"/>
        </w:rPr>
        <w:br/>
        <w:t>27 червня 2019 року № 1528</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Зареєстровано</w:t>
      </w:r>
      <w:r w:rsidRPr="003054E7">
        <w:rPr>
          <w:rFonts w:ascii="Times New Roman" w:eastAsia="Times New Roman" w:hAnsi="Times New Roman" w:cs="Times New Roman"/>
          <w:sz w:val="24"/>
          <w:szCs w:val="24"/>
          <w:lang w:eastAsia="ru-RU"/>
        </w:rPr>
        <w:br/>
        <w:t>в Міністерстві юстиції України</w:t>
      </w:r>
      <w:r w:rsidRPr="003054E7">
        <w:rPr>
          <w:rFonts w:ascii="Times New Roman" w:eastAsia="Times New Roman" w:hAnsi="Times New Roman" w:cs="Times New Roman"/>
          <w:sz w:val="24"/>
          <w:szCs w:val="24"/>
          <w:lang w:eastAsia="ru-RU"/>
        </w:rPr>
        <w:br/>
        <w:t>12 липня 2019 р. за № 778/33749</w:t>
      </w:r>
    </w:p>
    <w:p w:rsidR="003054E7" w:rsidRPr="003054E7" w:rsidRDefault="003054E7" w:rsidP="003054E7">
      <w:pPr>
        <w:shd w:val="clear" w:color="auto" w:fill="FFFFFF"/>
        <w:spacing w:after="150" w:line="240" w:lineRule="auto"/>
        <w:jc w:val="center"/>
        <w:outlineLvl w:val="1"/>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Зміни</w:t>
      </w:r>
      <w:r w:rsidRPr="003054E7">
        <w:rPr>
          <w:rFonts w:ascii="Times New Roman" w:eastAsia="Times New Roman" w:hAnsi="Times New Roman" w:cs="Times New Roman"/>
          <w:sz w:val="24"/>
          <w:szCs w:val="24"/>
          <w:lang w:eastAsia="ru-RU"/>
        </w:rPr>
        <w:br/>
        <w:t xml:space="preserve">до Порядку проведення експертизи реєстраційних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 </w:t>
      </w: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пункті 1 розділу II:</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3 викласти в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«3) біовейвер на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ідставі БСК — дослідження біоеквівалентності </w:t>
      </w:r>
      <w:r w:rsidRPr="003054E7">
        <w:rPr>
          <w:rFonts w:ascii="Times New Roman" w:eastAsia="Times New Roman" w:hAnsi="Times New Roman" w:cs="Times New Roman"/>
          <w:i/>
          <w:iCs/>
          <w:sz w:val="24"/>
          <w:szCs w:val="24"/>
          <w:lang w:eastAsia="ru-RU"/>
        </w:rPr>
        <w:t>in vitro</w:t>
      </w:r>
      <w:r w:rsidRPr="003054E7">
        <w:rPr>
          <w:rFonts w:ascii="Times New Roman" w:eastAsia="Times New Roman" w:hAnsi="Times New Roman" w:cs="Times New Roman"/>
          <w:sz w:val="24"/>
          <w:szCs w:val="24"/>
          <w:lang w:eastAsia="ru-RU"/>
        </w:rPr>
        <w:t xml:space="preserve">, що обмежуються високорозчинними діючими речовинами з відомою абсорбцією у людини, що не мають </w:t>
      </w:r>
      <w:r w:rsidRPr="003054E7">
        <w:rPr>
          <w:rFonts w:ascii="Times New Roman" w:eastAsia="Times New Roman" w:hAnsi="Times New Roman" w:cs="Times New Roman"/>
          <w:sz w:val="24"/>
          <w:szCs w:val="24"/>
          <w:lang w:eastAsia="ru-RU"/>
        </w:rPr>
        <w:lastRenderedPageBreak/>
        <w:t>вузького терапевтичного індексу. Процедура біовейвер на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ідставі БСК застосовується для лікарських засобів у твердих дозованих формах системної дії з негайним вивільненням для орального застосування, що мають однакову лікарську форму;»;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2)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5 викласти в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«5) біоеквівалентність — два лікарських засоби, що містять однакову діючу речовину, вважаються біоеквівалентними, якщо вони є фармацевтично еквівалентними або фармацевтично альтернативними, а їх біодоступність (швидкість та ступінь абсорбції)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ісля введення в однаковій молярній дозі знаходиться в попередньо встановлених критеріях прийнятності. Ці критерії встановлюються для забезпечення порівняння характеристик </w:t>
      </w:r>
      <w:proofErr w:type="gramStart"/>
      <w:r w:rsidRPr="003054E7">
        <w:rPr>
          <w:rFonts w:ascii="Times New Roman" w:eastAsia="Times New Roman" w:hAnsi="Times New Roman" w:cs="Times New Roman"/>
          <w:sz w:val="24"/>
          <w:szCs w:val="24"/>
          <w:lang w:eastAsia="ru-RU"/>
        </w:rPr>
        <w:t>л</w:t>
      </w:r>
      <w:proofErr w:type="gramEnd"/>
      <w:r w:rsidRPr="003054E7">
        <w:rPr>
          <w:rFonts w:ascii="Times New Roman" w:eastAsia="Times New Roman" w:hAnsi="Times New Roman" w:cs="Times New Roman"/>
          <w:sz w:val="24"/>
          <w:szCs w:val="24"/>
          <w:lang w:eastAsia="ru-RU"/>
        </w:rPr>
        <w:t>ікарських засобів</w:t>
      </w:r>
      <w:r w:rsidRPr="003054E7">
        <w:rPr>
          <w:rFonts w:ascii="Times New Roman" w:eastAsia="Times New Roman" w:hAnsi="Times New Roman" w:cs="Times New Roman"/>
          <w:i/>
          <w:iCs/>
          <w:sz w:val="24"/>
          <w:szCs w:val="24"/>
          <w:lang w:eastAsia="ru-RU"/>
        </w:rPr>
        <w:t> in vivo</w:t>
      </w:r>
      <w:r w:rsidRPr="003054E7">
        <w:rPr>
          <w:rFonts w:ascii="Times New Roman" w:eastAsia="Times New Roman" w:hAnsi="Times New Roman" w:cs="Times New Roman"/>
          <w:sz w:val="24"/>
          <w:szCs w:val="24"/>
          <w:lang w:eastAsia="ru-RU"/>
        </w:rPr>
        <w:t>, тобто для встановлення подібності з точки зору безпеки та ефективності;»;</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3)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8 виключити.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зв’язку з цим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ідпункти 9 — 61 вважати відповідно підпунктами 8 — 60;</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4)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8 викласти в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«8) висновок Державного експертного центру МОЗ щодо ефективності, безпеки та якості лікарського засобу, що пропонується до державної реєстрації, та/або експертної оцінки спі</w:t>
      </w:r>
      <w:proofErr w:type="gramStart"/>
      <w:r w:rsidRPr="003054E7">
        <w:rPr>
          <w:rFonts w:ascii="Times New Roman" w:eastAsia="Times New Roman" w:hAnsi="Times New Roman" w:cs="Times New Roman"/>
          <w:sz w:val="24"/>
          <w:szCs w:val="24"/>
          <w:lang w:eastAsia="ru-RU"/>
        </w:rPr>
        <w:t>вв</w:t>
      </w:r>
      <w:proofErr w:type="gramEnd"/>
      <w:r w:rsidRPr="003054E7">
        <w:rPr>
          <w:rFonts w:ascii="Times New Roman" w:eastAsia="Times New Roman" w:hAnsi="Times New Roman" w:cs="Times New Roman"/>
          <w:sz w:val="24"/>
          <w:szCs w:val="24"/>
          <w:lang w:eastAsia="ru-RU"/>
        </w:rPr>
        <w:t xml:space="preserve">ідношення користь/ризик лікарського засобу, що пропонується до державної перереєстрації, та/або внесення змін до матеріалів реєстраційного досьє на лікарський засіб — узагальнений результат експертизи матеріалів реєстраційного досьє на лікарський засіб з наданням рекомендацій щодо його державної реєстрації, в тому числі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ідтвердження відповідності звітів про доклінічні дослідження та звітів про клінічні випробування, наданих заявником, матеріалам реєстраційного досьє, з наданням рекомендацій щодо їх опублікування на офіційному сайті МОЗ, та/або рекомендацій щодо державної перереєстрації лікарського засобу, та/або внесення змін до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реєстраційного досьє на лікарський засіб протягом дії реєстраційного посвідчення чи його нової реєстрації або щодо відмови в реєстрації, перереєстрації, внесенні змін до матеріалів реєстраційного досьє на лікарський засі</w:t>
      </w:r>
      <w:proofErr w:type="gramStart"/>
      <w:r w:rsidRPr="003054E7">
        <w:rPr>
          <w:rFonts w:ascii="Times New Roman" w:eastAsia="Times New Roman" w:hAnsi="Times New Roman" w:cs="Times New Roman"/>
          <w:sz w:val="24"/>
          <w:szCs w:val="24"/>
          <w:lang w:eastAsia="ru-RU"/>
        </w:rPr>
        <w:t>б</w:t>
      </w:r>
      <w:proofErr w:type="gramEnd"/>
      <w:r w:rsidRPr="003054E7">
        <w:rPr>
          <w:rFonts w:ascii="Times New Roman" w:eastAsia="Times New Roman" w:hAnsi="Times New Roman" w:cs="Times New Roman"/>
          <w:sz w:val="24"/>
          <w:szCs w:val="24"/>
          <w:lang w:eastAsia="ru-RU"/>
        </w:rPr>
        <w:t xml:space="preserve"> протягом дії реєстраційного посвідчення;»;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5)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11 викласти в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«11) генеричний лікарський засіб (генерик) (далі — генерик) — лікарський засіб такого самого якісного і кількісного складу діючих речовин і такої самої лікарської форми, як і референтний лікарський засіб, біоеквівалентність якого з референтним лікарським засобом було продемонстровано належними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ідженнями біодоступності. Різні солі, складні ефіри, прості ефіри, ізомери, суміші ізомерів, комплекси або похідні діючої речовини вважатимуться однією і тією самою діючою речовиною за умови, що вони суттєво не ві</w:t>
      </w:r>
      <w:proofErr w:type="gramStart"/>
      <w:r w:rsidRPr="003054E7">
        <w:rPr>
          <w:rFonts w:ascii="Times New Roman" w:eastAsia="Times New Roman" w:hAnsi="Times New Roman" w:cs="Times New Roman"/>
          <w:sz w:val="24"/>
          <w:szCs w:val="24"/>
          <w:lang w:eastAsia="ru-RU"/>
        </w:rPr>
        <w:t>др</w:t>
      </w:r>
      <w:proofErr w:type="gramEnd"/>
      <w:r w:rsidRPr="003054E7">
        <w:rPr>
          <w:rFonts w:ascii="Times New Roman" w:eastAsia="Times New Roman" w:hAnsi="Times New Roman" w:cs="Times New Roman"/>
          <w:sz w:val="24"/>
          <w:szCs w:val="24"/>
          <w:lang w:eastAsia="ru-RU"/>
        </w:rPr>
        <w:t xml:space="preserve">ізняються з точки зору безпеки та/або ефективності. Різні лікарські форми для перорального застосування з негайним вивільненням вважатимуться однією і тією самою лікарською формою.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біодоступності не вимагатимуться від заявника, якщо він доведе відповідність генеричного лікарського засобу встановленим критеріям, визначеним у відповідних детальних настановах</w:t>
      </w:r>
      <w:proofErr w:type="gramStart"/>
      <w:r w:rsidRPr="003054E7">
        <w:rPr>
          <w:rFonts w:ascii="Times New Roman" w:eastAsia="Times New Roman" w:hAnsi="Times New Roman" w:cs="Times New Roman"/>
          <w:sz w:val="24"/>
          <w:szCs w:val="24"/>
          <w:lang w:eastAsia="ru-RU"/>
        </w:rPr>
        <w:t>;»</w:t>
      </w:r>
      <w:proofErr w:type="gramEnd"/>
      <w:r w:rsidRPr="003054E7">
        <w:rPr>
          <w:rFonts w:ascii="Times New Roman" w:eastAsia="Times New Roman" w:hAnsi="Times New Roman" w:cs="Times New Roman"/>
          <w:sz w:val="24"/>
          <w:szCs w:val="24"/>
          <w:lang w:eastAsia="ru-RU"/>
        </w:rPr>
        <w:t>;</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6)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20 виключити.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зв’язку з цим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ідпункти 21 — 60 вважати відповідно підпунктами 19 — 59;</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7)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27 викласти у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«27) конфіденційна реєстраційна інформація — науково-технічна інформація, що міститься у реєстраційних матеріалах на лікарський засіб, включаючи частини I — IV або модулі 1 — 5 матеріалів реєстраційного дось</w:t>
      </w:r>
      <w:proofErr w:type="gramStart"/>
      <w:r w:rsidRPr="003054E7">
        <w:rPr>
          <w:rFonts w:ascii="Times New Roman" w:eastAsia="Times New Roman" w:hAnsi="Times New Roman" w:cs="Times New Roman"/>
          <w:sz w:val="24"/>
          <w:szCs w:val="24"/>
          <w:lang w:eastAsia="ru-RU"/>
        </w:rPr>
        <w:t>є,</w:t>
      </w:r>
      <w:proofErr w:type="gramEnd"/>
      <w:r w:rsidRPr="003054E7">
        <w:rPr>
          <w:rFonts w:ascii="Times New Roman" w:eastAsia="Times New Roman" w:hAnsi="Times New Roman" w:cs="Times New Roman"/>
          <w:sz w:val="24"/>
          <w:szCs w:val="24"/>
          <w:lang w:eastAsia="ru-RU"/>
        </w:rPr>
        <w:t xml:space="preserve"> методи контролю якості лікарського засобу (за винятком інформації, яка є загальнодоступною, зокрема, про референтний препарат, </w:t>
      </w:r>
      <w:r w:rsidRPr="003054E7">
        <w:rPr>
          <w:rFonts w:ascii="Times New Roman" w:eastAsia="Times New Roman" w:hAnsi="Times New Roman" w:cs="Times New Roman"/>
          <w:sz w:val="24"/>
          <w:szCs w:val="24"/>
          <w:lang w:eastAsia="ru-RU"/>
        </w:rPr>
        <w:lastRenderedPageBreak/>
        <w:t xml:space="preserve">назву лікарського засобу, склад діючих речовин, силу дії, пакування, заявника та/або виробника лікарського засобу, що наводяться в межах інструкції для медичного застосування, інформації щодо небезпечних властивостей лікарського засобу, які можуть завдати шкоди пацієнту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 час застосування, а також за винятком результатів доклінічного вивчення та клінічних випробувань лікарських засобів (звітів про доклінічні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та звітів про клінічні випробування, складених за формою, встановленою цим Порядком));»;</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8)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58 викласти в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«58) фармацевтично еквівалентні лікарські засоби — лікарські засоби, що містять ту саму кількість тієї самої діючої речовини (діючих речовин) в тих самих лікарських формах та відповідають вимогам однакових або порівняних стандартів. Фармацевтична еквівалентність не обов’язково передбачає біоеквівалентність, оскільки відмінност</w:t>
      </w:r>
      <w:proofErr w:type="gramEnd"/>
      <w:r w:rsidRPr="003054E7">
        <w:rPr>
          <w:rFonts w:ascii="Times New Roman" w:eastAsia="Times New Roman" w:hAnsi="Times New Roman" w:cs="Times New Roman"/>
          <w:sz w:val="24"/>
          <w:szCs w:val="24"/>
          <w:lang w:eastAsia="ru-RU"/>
        </w:rPr>
        <w:t xml:space="preserve">і у допоміжних речовинах та/або у процесі виробництва можуть призвести </w:t>
      </w:r>
      <w:proofErr w:type="gramStart"/>
      <w:r w:rsidRPr="003054E7">
        <w:rPr>
          <w:rFonts w:ascii="Times New Roman" w:eastAsia="Times New Roman" w:hAnsi="Times New Roman" w:cs="Times New Roman"/>
          <w:sz w:val="24"/>
          <w:szCs w:val="24"/>
          <w:lang w:eastAsia="ru-RU"/>
        </w:rPr>
        <w:t>до</w:t>
      </w:r>
      <w:proofErr w:type="gramEnd"/>
      <w:r w:rsidRPr="003054E7">
        <w:rPr>
          <w:rFonts w:ascii="Times New Roman" w:eastAsia="Times New Roman" w:hAnsi="Times New Roman" w:cs="Times New Roman"/>
          <w:sz w:val="24"/>
          <w:szCs w:val="24"/>
          <w:lang w:eastAsia="ru-RU"/>
        </w:rPr>
        <w:t> більш швидкого чи більш повільного розчинення та/або абсорбції</w:t>
      </w:r>
      <w:proofErr w:type="gramStart"/>
      <w:r w:rsidRPr="003054E7">
        <w:rPr>
          <w:rFonts w:ascii="Times New Roman" w:eastAsia="Times New Roman" w:hAnsi="Times New Roman" w:cs="Times New Roman"/>
          <w:sz w:val="24"/>
          <w:szCs w:val="24"/>
          <w:lang w:eastAsia="ru-RU"/>
        </w:rPr>
        <w:t>;»</w:t>
      </w:r>
      <w:proofErr w:type="gramEnd"/>
      <w:r w:rsidRPr="003054E7">
        <w:rPr>
          <w:rFonts w:ascii="Times New Roman" w:eastAsia="Times New Roman" w:hAnsi="Times New Roman" w:cs="Times New Roman"/>
          <w:sz w:val="24"/>
          <w:szCs w:val="24"/>
          <w:lang w:eastAsia="ru-RU"/>
        </w:rPr>
        <w:t>.</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2. </w:t>
      </w: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пункті 1 розділу III:</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1) 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ідпункті 1.3:</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ідпункті 1:</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в абзаці третьому слово «еквівалентності» замінити </w:t>
      </w:r>
      <w:proofErr w:type="gramStart"/>
      <w:r w:rsidRPr="003054E7">
        <w:rPr>
          <w:rFonts w:ascii="Times New Roman" w:eastAsia="Times New Roman" w:hAnsi="Times New Roman" w:cs="Times New Roman"/>
          <w:sz w:val="24"/>
          <w:szCs w:val="24"/>
          <w:lang w:eastAsia="ru-RU"/>
        </w:rPr>
        <w:t>словом «б</w:t>
      </w:r>
      <w:proofErr w:type="gramEnd"/>
      <w:r w:rsidRPr="003054E7">
        <w:rPr>
          <w:rFonts w:ascii="Times New Roman" w:eastAsia="Times New Roman" w:hAnsi="Times New Roman" w:cs="Times New Roman"/>
          <w:sz w:val="24"/>
          <w:szCs w:val="24"/>
          <w:lang w:eastAsia="ru-RU"/>
        </w:rPr>
        <w:t>іоеквівалентності»;</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абзац четвертий викласти </w:t>
      </w:r>
      <w:proofErr w:type="gramStart"/>
      <w:r w:rsidRPr="003054E7">
        <w:rPr>
          <w:rFonts w:ascii="Times New Roman" w:eastAsia="Times New Roman" w:hAnsi="Times New Roman" w:cs="Times New Roman"/>
          <w:sz w:val="24"/>
          <w:szCs w:val="24"/>
          <w:lang w:eastAsia="ru-RU"/>
        </w:rPr>
        <w:t>в</w:t>
      </w:r>
      <w:proofErr w:type="gramEnd"/>
      <w:r w:rsidRPr="003054E7">
        <w:rPr>
          <w:rFonts w:ascii="Times New Roman" w:eastAsia="Times New Roman" w:hAnsi="Times New Roman" w:cs="Times New Roman"/>
          <w:sz w:val="24"/>
          <w:szCs w:val="24"/>
          <w:lang w:eastAsia="ru-RU"/>
        </w:rPr>
        <w:t>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«Генерик визначається як лікарський засіб такого самого якісного і кількісного складу діючих речовин і такої самої лікарської форми, як і референтний лікарський засіб, біоеквівалентність якого з референтним лікарським засобом було продемонстровано належними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ідженнями біодоступності. Різні солі, складні ефіри, прості ефіри, ізомери, суміші ізомерів, комплекси або похідні діючої речовини вважатимуться однією і тією самою діючою речовиною за умови, що вони суттєво не ві</w:t>
      </w:r>
      <w:proofErr w:type="gramStart"/>
      <w:r w:rsidRPr="003054E7">
        <w:rPr>
          <w:rFonts w:ascii="Times New Roman" w:eastAsia="Times New Roman" w:hAnsi="Times New Roman" w:cs="Times New Roman"/>
          <w:sz w:val="24"/>
          <w:szCs w:val="24"/>
          <w:lang w:eastAsia="ru-RU"/>
        </w:rPr>
        <w:t>др</w:t>
      </w:r>
      <w:proofErr w:type="gramEnd"/>
      <w:r w:rsidRPr="003054E7">
        <w:rPr>
          <w:rFonts w:ascii="Times New Roman" w:eastAsia="Times New Roman" w:hAnsi="Times New Roman" w:cs="Times New Roman"/>
          <w:sz w:val="24"/>
          <w:szCs w:val="24"/>
          <w:lang w:eastAsia="ru-RU"/>
        </w:rPr>
        <w:t xml:space="preserve">ізняються з точки зору безпеки та/або ефективності. Різні лікарські форми для перорального застосування з негайним вивільненням вважатимуться однією і тією самою лікарською формою.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біодоступності не вимагатимуться від заявника, якщо він доведе відповідність генеричного лікарського засобу встановленим критеріям, визначеним у відповідних детальних настановах.»;</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 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ідпункті 2:</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абзац другий викласти </w:t>
      </w:r>
      <w:proofErr w:type="gramStart"/>
      <w:r w:rsidRPr="003054E7">
        <w:rPr>
          <w:rFonts w:ascii="Times New Roman" w:eastAsia="Times New Roman" w:hAnsi="Times New Roman" w:cs="Times New Roman"/>
          <w:sz w:val="24"/>
          <w:szCs w:val="24"/>
          <w:lang w:eastAsia="ru-RU"/>
        </w:rPr>
        <w:t>в</w:t>
      </w:r>
      <w:proofErr w:type="gramEnd"/>
      <w:r w:rsidRPr="003054E7">
        <w:rPr>
          <w:rFonts w:ascii="Times New Roman" w:eastAsia="Times New Roman" w:hAnsi="Times New Roman" w:cs="Times New Roman"/>
          <w:sz w:val="24"/>
          <w:szCs w:val="24"/>
          <w:lang w:eastAsia="ru-RU"/>
        </w:rPr>
        <w:t>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разі, якщо лікарський засіб не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ідпадає під визначення «генеричний лікарський засіб», або якщо його біоеквівалентність не може бути продемонстрована дослідженнями біодоступності, або якщо має такі відмінності з референтним лікарським засобом: зміни у діючій(их) речовині(ах), терапевтичних показаннях, дозуванні, лікарській формі або шляху введення, заявник надає результати відповідних токсикологічних і фармакологічних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іджень та/або клінічних випробувань.»;</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абзац дев’ятий викласти </w:t>
      </w:r>
      <w:proofErr w:type="gramStart"/>
      <w:r w:rsidRPr="003054E7">
        <w:rPr>
          <w:rFonts w:ascii="Times New Roman" w:eastAsia="Times New Roman" w:hAnsi="Times New Roman" w:cs="Times New Roman"/>
          <w:sz w:val="24"/>
          <w:szCs w:val="24"/>
          <w:lang w:eastAsia="ru-RU"/>
        </w:rPr>
        <w:t>в</w:t>
      </w:r>
      <w:proofErr w:type="gramEnd"/>
      <w:r w:rsidRPr="003054E7">
        <w:rPr>
          <w:rFonts w:ascii="Times New Roman" w:eastAsia="Times New Roman" w:hAnsi="Times New Roman" w:cs="Times New Roman"/>
          <w:sz w:val="24"/>
          <w:szCs w:val="24"/>
          <w:lang w:eastAsia="ru-RU"/>
        </w:rPr>
        <w:t>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«Реєстраційні досьє на гібридні лікарські засоби містять посилання на результати доклінічних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іджень та клінічних випробувань референтного препарату та частково нові дані.».</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3. У розділі IV:</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 </w:t>
      </w: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пункті 4:</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lastRenderedPageBreak/>
        <w:t>абзаци перший, другий викласти в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«4.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ісля оплати рахунку заявником до Центру подаються матеріали реєстраційного досьє, в тому числі звіт про доклінічні дослідження та звіт про клінічні випробування, відповідно до типу лікарського засобу та вимог:</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розділу III Порядку та додатків 5, 6, 9, 10, 11 (залежно від типу </w:t>
      </w:r>
      <w:proofErr w:type="gramStart"/>
      <w:r w:rsidRPr="003054E7">
        <w:rPr>
          <w:rFonts w:ascii="Times New Roman" w:eastAsia="Times New Roman" w:hAnsi="Times New Roman" w:cs="Times New Roman"/>
          <w:sz w:val="24"/>
          <w:szCs w:val="24"/>
          <w:lang w:eastAsia="ru-RU"/>
        </w:rPr>
        <w:t>л</w:t>
      </w:r>
      <w:proofErr w:type="gramEnd"/>
      <w:r w:rsidRPr="003054E7">
        <w:rPr>
          <w:rFonts w:ascii="Times New Roman" w:eastAsia="Times New Roman" w:hAnsi="Times New Roman" w:cs="Times New Roman"/>
          <w:sz w:val="24"/>
          <w:szCs w:val="24"/>
          <w:lang w:eastAsia="ru-RU"/>
        </w:rPr>
        <w:t>ікарського засобу) та 28;»;</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ісля абзацу п’ятого доповнити новим абзацом шостим такого змісту: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«Звіт про доклінічні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та звіт про клінічні випробування складаються за формами згідно з додатками 29, 30 до цього Порядку та заповнюються відповідно до Інформації щодо заповнення звіту про доклінічні дослідження та Інформації щодо заповнення звіту про клінічні випробування згідно з додатками 31, 32 до цього Порядку</w:t>
      </w:r>
      <w:proofErr w:type="gramStart"/>
      <w:r w:rsidRPr="003054E7">
        <w:rPr>
          <w:rFonts w:ascii="Times New Roman" w:eastAsia="Times New Roman" w:hAnsi="Times New Roman" w:cs="Times New Roman"/>
          <w:sz w:val="24"/>
          <w:szCs w:val="24"/>
          <w:lang w:eastAsia="ru-RU"/>
        </w:rPr>
        <w:t>.».</w:t>
      </w:r>
      <w:proofErr w:type="gramEnd"/>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зв’язку з цим абзаци шостий — двадцять третій вважати відповідно абзацами сьомим — двадцять четвертим;</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2) абзац перший пункту 5 викласти </w:t>
      </w:r>
      <w:proofErr w:type="gramStart"/>
      <w:r w:rsidRPr="003054E7">
        <w:rPr>
          <w:rFonts w:ascii="Times New Roman" w:eastAsia="Times New Roman" w:hAnsi="Times New Roman" w:cs="Times New Roman"/>
          <w:sz w:val="24"/>
          <w:szCs w:val="24"/>
          <w:lang w:eastAsia="ru-RU"/>
        </w:rPr>
        <w:t>в</w:t>
      </w:r>
      <w:proofErr w:type="gramEnd"/>
      <w:r w:rsidRPr="003054E7">
        <w:rPr>
          <w:rFonts w:ascii="Times New Roman" w:eastAsia="Times New Roman" w:hAnsi="Times New Roman" w:cs="Times New Roman"/>
          <w:sz w:val="24"/>
          <w:szCs w:val="24"/>
          <w:lang w:eastAsia="ru-RU"/>
        </w:rPr>
        <w:t>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«5. Спеціалізовану експертизу матеріалів реєстраційного досьє на лікарський засіб здійснюють експерти з питань реєстрації Центру із залученням позаштатних експертів та консультантів. Метою спеціалізованої експертизи є складання вмотивованого висновку щодо ефективності, безпеки та якості лікарського засобу, в тому числі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ідтвердження відповідності звітів про доклінічні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та звітів про клінічні випробування, наданих заявником, матеріалам реєстраційного досьє з наданням рекомендацій щодо їх опублікування на офіційному сайті МОЗ і рекомендацій до затвердження інструкції для медичного застосування, тексту маркування упаковки готового лікарського засобу і методів контролю якості лікарського засобу (далі — МКЯ). Рекомендовані до затвердження МКЯ оформлюються окремим документом на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ідставі специфікації/методів контролю лікарського засобу, які розроблені та обґрунтовані результатами досліджень, проведених заявником (виробником). Інформація, наведена у МКЯ, має повністю відповідати інформації, яка міститься у відповідних розділах реєстраційного досьє, наданого заявником (виробником).»;</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3) абзац одинадцятий пункту 7 викласти </w:t>
      </w:r>
      <w:proofErr w:type="gramStart"/>
      <w:r w:rsidRPr="003054E7">
        <w:rPr>
          <w:rFonts w:ascii="Times New Roman" w:eastAsia="Times New Roman" w:hAnsi="Times New Roman" w:cs="Times New Roman"/>
          <w:sz w:val="24"/>
          <w:szCs w:val="24"/>
          <w:lang w:eastAsia="ru-RU"/>
        </w:rPr>
        <w:t>в</w:t>
      </w:r>
      <w:proofErr w:type="gramEnd"/>
      <w:r w:rsidRPr="003054E7">
        <w:rPr>
          <w:rFonts w:ascii="Times New Roman" w:eastAsia="Times New Roman" w:hAnsi="Times New Roman" w:cs="Times New Roman"/>
          <w:sz w:val="24"/>
          <w:szCs w:val="24"/>
          <w:lang w:eastAsia="ru-RU"/>
        </w:rPr>
        <w:t>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«За результатами експертизи реєстраційного досьє складається експертний звіт, на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ідставі якого надаються вмотивовані висновки щодо ефективності, безпеки та якості лікарського засобу із зазначенням підтвердження відповідності звіту про доклінічні дослідження та звіту про клінічні випробування, наданих заявником, матеріалам реєстраційного досьє. Експерти з питань реєстрації відповідних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ідрозділів Центру є відповідальними за результати проведеної ними експертизи.»;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4) абзаци шостий — восьмий пункту 13 замінити двома абзацами такого змісту: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«За наявності зауважень Центру щодо оновлення інформації з безпеки в інструкції </w:t>
      </w:r>
      <w:proofErr w:type="gramStart"/>
      <w:r w:rsidRPr="003054E7">
        <w:rPr>
          <w:rFonts w:ascii="Times New Roman" w:eastAsia="Times New Roman" w:hAnsi="Times New Roman" w:cs="Times New Roman"/>
          <w:sz w:val="24"/>
          <w:szCs w:val="24"/>
          <w:lang w:eastAsia="ru-RU"/>
        </w:rPr>
        <w:t>для</w:t>
      </w:r>
      <w:proofErr w:type="gramEnd"/>
      <w:r w:rsidRPr="003054E7">
        <w:rPr>
          <w:rFonts w:ascii="Times New Roman" w:eastAsia="Times New Roman" w:hAnsi="Times New Roman" w:cs="Times New Roman"/>
          <w:sz w:val="24"/>
          <w:szCs w:val="24"/>
          <w:lang w:eastAsia="ru-RU"/>
        </w:rPr>
        <w:t xml:space="preserve"> медичного застосування на лікарський засіб, поданий на перереєстрацію, включаючи приведення інструкції для медичного застосування генеричного лікарського засобу у відповідність до інструкції/офіційно затвердженої інформації для медичного застосування оригінального (референтного) лікарського засобу, допускається оновлення такої інформації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 час перереєстрації без зупинки експертних робіт шляхом надання додаткових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без застосування процедури внесення змін.</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За наявності зауважень Центру про внесення змін щодо ефективності лікарського засобу (фармаконагляду) до відповідних документів на лікарський засіб, поданий </w:t>
      </w:r>
      <w:r w:rsidRPr="003054E7">
        <w:rPr>
          <w:rFonts w:ascii="Times New Roman" w:eastAsia="Times New Roman" w:hAnsi="Times New Roman" w:cs="Times New Roman"/>
          <w:sz w:val="24"/>
          <w:szCs w:val="24"/>
          <w:lang w:eastAsia="ru-RU"/>
        </w:rPr>
        <w:lastRenderedPageBreak/>
        <w:t xml:space="preserve">на перереєстрацію, ці зміни повинні бути заявлені відповідно до положень розділу VI Порядку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ісля завершення процедури перереєстрації.».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4. У розділі V:</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1 пункту 1 викласти в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 для державної реєстрації — відомості за структурою, наведеною в додатку 5, звіт про доклінічні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 xml:space="preserve">ідження та звіт про клінічні випробування для опублікування на офіційному сайті МОЗ за формами (додатки 29, 30). У разі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ідготовки реєстраційних матеріалів на готові лікарські засоби заявник має керуватися загальними вимогами до реєстраційного досьє, викладеними у додатку 6, з урахуванням вимог розділу III Порядку та додатків 7 — 11 (залежно від типу лікарського засобу); для АФІ — документи, зазначені у додатку 12, структуровані згідно з додатком 5 у частинах, що стосуються АФІ</w:t>
      </w:r>
      <w:proofErr w:type="gramStart"/>
      <w:r w:rsidRPr="003054E7">
        <w:rPr>
          <w:rFonts w:ascii="Times New Roman" w:eastAsia="Times New Roman" w:hAnsi="Times New Roman" w:cs="Times New Roman"/>
          <w:sz w:val="24"/>
          <w:szCs w:val="24"/>
          <w:lang w:eastAsia="ru-RU"/>
        </w:rPr>
        <w:t>;»</w:t>
      </w:r>
      <w:proofErr w:type="gramEnd"/>
      <w:r w:rsidRPr="003054E7">
        <w:rPr>
          <w:rFonts w:ascii="Times New Roman" w:eastAsia="Times New Roman" w:hAnsi="Times New Roman" w:cs="Times New Roman"/>
          <w:sz w:val="24"/>
          <w:szCs w:val="24"/>
          <w:lang w:eastAsia="ru-RU"/>
        </w:rPr>
        <w:t>;</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 у </w:t>
      </w:r>
      <w:proofErr w:type="gramStart"/>
      <w:r w:rsidRPr="003054E7">
        <w:rPr>
          <w:rFonts w:ascii="Times New Roman" w:eastAsia="Times New Roman" w:hAnsi="Times New Roman" w:cs="Times New Roman"/>
          <w:sz w:val="24"/>
          <w:szCs w:val="24"/>
          <w:lang w:eastAsia="ru-RU"/>
        </w:rPr>
        <w:t>пунктах</w:t>
      </w:r>
      <w:proofErr w:type="gramEnd"/>
      <w:r w:rsidRPr="003054E7">
        <w:rPr>
          <w:rFonts w:ascii="Times New Roman" w:eastAsia="Times New Roman" w:hAnsi="Times New Roman" w:cs="Times New Roman"/>
          <w:sz w:val="24"/>
          <w:szCs w:val="24"/>
          <w:lang w:eastAsia="ru-RU"/>
        </w:rPr>
        <w:t xml:space="preserve"> 9, 10 слова «або російську» виключити;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3) 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ідпункті 10.3 пункту 10:</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4 виключити.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зв’язку з цим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5 вважати підпунктом 4;</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абзац сьомий виключити.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зв’язку з цим абзац восьмий вважати абзацом сьомим;</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4) в абзаці третьому пункту 11 слова «, або російською</w:t>
      </w:r>
      <w:proofErr w:type="gramStart"/>
      <w:r w:rsidRPr="003054E7">
        <w:rPr>
          <w:rFonts w:ascii="Times New Roman" w:eastAsia="Times New Roman" w:hAnsi="Times New Roman" w:cs="Times New Roman"/>
          <w:sz w:val="24"/>
          <w:szCs w:val="24"/>
          <w:lang w:eastAsia="ru-RU"/>
        </w:rPr>
        <w:t>,»</w:t>
      </w:r>
      <w:proofErr w:type="gramEnd"/>
      <w:r w:rsidRPr="003054E7">
        <w:rPr>
          <w:rFonts w:ascii="Times New Roman" w:eastAsia="Times New Roman" w:hAnsi="Times New Roman" w:cs="Times New Roman"/>
          <w:sz w:val="24"/>
          <w:szCs w:val="24"/>
          <w:lang w:eastAsia="ru-RU"/>
        </w:rPr>
        <w:t xml:space="preserve"> виключити.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5. У розділі VI:</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1) пункт 2 доповнити новим абзацом такого змісту: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«За бажанням заявника реєстраційні матеріали зареєстрованих лікарських засобів можуть бути доповнені за процедурою внесення змін до реєстраційних матеріалів звітом про доклінічні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та звітом про клінічні випробування для опублікування на офіційному сайті МОЗ згідно із Законом України «Про </w:t>
      </w:r>
      <w:proofErr w:type="gramStart"/>
      <w:r w:rsidRPr="003054E7">
        <w:rPr>
          <w:rFonts w:ascii="Times New Roman" w:eastAsia="Times New Roman" w:hAnsi="Times New Roman" w:cs="Times New Roman"/>
          <w:sz w:val="24"/>
          <w:szCs w:val="24"/>
          <w:lang w:eastAsia="ru-RU"/>
        </w:rPr>
        <w:t>л</w:t>
      </w:r>
      <w:proofErr w:type="gramEnd"/>
      <w:r w:rsidRPr="003054E7">
        <w:rPr>
          <w:rFonts w:ascii="Times New Roman" w:eastAsia="Times New Roman" w:hAnsi="Times New Roman" w:cs="Times New Roman"/>
          <w:sz w:val="24"/>
          <w:szCs w:val="24"/>
          <w:lang w:eastAsia="ru-RU"/>
        </w:rPr>
        <w:t>ікарські засоби».»;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 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ідпункті 2.4 пункту 2 слова «та/або російську» виключити;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3) абзац восьмий пункту 4 викласти </w:t>
      </w:r>
      <w:proofErr w:type="gramStart"/>
      <w:r w:rsidRPr="003054E7">
        <w:rPr>
          <w:rFonts w:ascii="Times New Roman" w:eastAsia="Times New Roman" w:hAnsi="Times New Roman" w:cs="Times New Roman"/>
          <w:sz w:val="24"/>
          <w:szCs w:val="24"/>
          <w:lang w:eastAsia="ru-RU"/>
        </w:rPr>
        <w:t>в</w:t>
      </w:r>
      <w:proofErr w:type="gramEnd"/>
      <w:r w:rsidRPr="003054E7">
        <w:rPr>
          <w:rFonts w:ascii="Times New Roman" w:eastAsia="Times New Roman" w:hAnsi="Times New Roman" w:cs="Times New Roman"/>
          <w:sz w:val="24"/>
          <w:szCs w:val="24"/>
          <w:lang w:eastAsia="ru-RU"/>
        </w:rPr>
        <w:t>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«копія чинного реєстраційного посвідчення (за потреби внесення змін щодо безпеки застосування лікарського засобу, поданого на перереєстрацію, копія чинного реєстраційного посвідчення надається за наявності)».</w:t>
      </w:r>
      <w:proofErr w:type="gramEnd"/>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6. Пункт 2 розділу VIII викласти </w:t>
      </w:r>
      <w:proofErr w:type="gramStart"/>
      <w:r w:rsidRPr="003054E7">
        <w:rPr>
          <w:rFonts w:ascii="Times New Roman" w:eastAsia="Times New Roman" w:hAnsi="Times New Roman" w:cs="Times New Roman"/>
          <w:sz w:val="24"/>
          <w:szCs w:val="24"/>
          <w:lang w:eastAsia="ru-RU"/>
        </w:rPr>
        <w:t>в</w:t>
      </w:r>
      <w:proofErr w:type="gramEnd"/>
      <w:r w:rsidRPr="003054E7">
        <w:rPr>
          <w:rFonts w:ascii="Times New Roman" w:eastAsia="Times New Roman" w:hAnsi="Times New Roman" w:cs="Times New Roman"/>
          <w:sz w:val="24"/>
          <w:szCs w:val="24"/>
          <w:lang w:eastAsia="ru-RU"/>
        </w:rPr>
        <w:t>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«2.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ісля узгодження із заявником проектів реєстраційних документів Центр протягом 5 робочих днів формує переліки лікарських засобів, що пропонуються до державної реєстрації (перереєстрації) або внесення змін до реєстраційних матеріалів (далі — Переліки), комплектує (за наявності — відповідно до процедури) висновки контрольними примірниками (зі штампом Центру «Контрольний примірник») документів, зазначених у другому — четвертому абзацах пункту 1 цього розділу, звітами про доклінічні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та звітами про клінічні випробування, які рекомендовані до опублікування на офіційному сайті МОЗ, і передає їх разом з Переліками (у паперовому вигляді та на електронному носії) та супровідним листом до МОЗ.</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Інформація про передання до МОЗ Переліків з висновками щодо ефективності, безпеки та якості лікарського засобу із зазначенням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ідтвердження відповідності звітів </w:t>
      </w:r>
      <w:r w:rsidRPr="003054E7">
        <w:rPr>
          <w:rFonts w:ascii="Times New Roman" w:eastAsia="Times New Roman" w:hAnsi="Times New Roman" w:cs="Times New Roman"/>
          <w:sz w:val="24"/>
          <w:szCs w:val="24"/>
          <w:lang w:eastAsia="ru-RU"/>
        </w:rPr>
        <w:lastRenderedPageBreak/>
        <w:t>про доклінічні дослідження та звітів про клінічні випробування, наданих заявником, матеріалам реєстраційного досьє вноситься Центром до єдиної електронної бази даних.».</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7. </w:t>
      </w: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w:t>
      </w:r>
      <w:proofErr w:type="gramStart"/>
      <w:r w:rsidRPr="003054E7">
        <w:rPr>
          <w:rFonts w:ascii="Times New Roman" w:eastAsia="Times New Roman" w:hAnsi="Times New Roman" w:cs="Times New Roman"/>
          <w:sz w:val="24"/>
          <w:szCs w:val="24"/>
          <w:lang w:eastAsia="ru-RU"/>
        </w:rPr>
        <w:t>текст</w:t>
      </w:r>
      <w:proofErr w:type="gramEnd"/>
      <w:r w:rsidRPr="003054E7">
        <w:rPr>
          <w:rFonts w:ascii="Times New Roman" w:eastAsia="Times New Roman" w:hAnsi="Times New Roman" w:cs="Times New Roman"/>
          <w:sz w:val="24"/>
          <w:szCs w:val="24"/>
          <w:lang w:eastAsia="ru-RU"/>
        </w:rPr>
        <w:t>і Порядку слова та цифри «настанови СТ-Н МОЗУ 42-7.1:2014», «настанови СТ-Н МОЗУ 42-7.1:2014 (чинне видання)» замінити словами та цифрами «чинної редакції настанови СТ-Н МОЗУ 42-7.2:2018».</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8. У додатках до Порядку: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 в абзаці третьому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ідпункту 1.8.2 пункту 1.8. розділу 1 додатка 6 слово «рослинний» виключити;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 у додатку 10:</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1.1. пункту 1 викласти в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«1.1. Лікарські засоби, отримані з плазми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Положення модуля 3 можуть частково не застосовуватися до лікарських засобів, отриманих з крові або плазми людини, для яких реєстраційне дось</w:t>
      </w:r>
      <w:proofErr w:type="gramStart"/>
      <w:r w:rsidRPr="003054E7">
        <w:rPr>
          <w:rFonts w:ascii="Times New Roman" w:eastAsia="Times New Roman" w:hAnsi="Times New Roman" w:cs="Times New Roman"/>
          <w:sz w:val="24"/>
          <w:szCs w:val="24"/>
          <w:lang w:eastAsia="ru-RU"/>
        </w:rPr>
        <w:t>є,</w:t>
      </w:r>
      <w:proofErr w:type="gramEnd"/>
      <w:r w:rsidRPr="003054E7">
        <w:rPr>
          <w:rFonts w:ascii="Times New Roman" w:eastAsia="Times New Roman" w:hAnsi="Times New Roman" w:cs="Times New Roman"/>
          <w:sz w:val="24"/>
          <w:szCs w:val="24"/>
          <w:lang w:eastAsia="ru-RU"/>
        </w:rPr>
        <w:t xml:space="preserve"> оформлене згідно з вимогами, викладеними у пункті 3.2 ЗТД для вихідних матеріалів, отриманих з крові/плазми людини, може бути замінено майстер-файлом на плазму (далі — ПМФ), оформленим відповідно до цієї частини.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Принципи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ПМФ — окремий документ, що не входить до реєстраційного досьє та </w:t>
      </w:r>
      <w:proofErr w:type="gramStart"/>
      <w:r w:rsidRPr="003054E7">
        <w:rPr>
          <w:rFonts w:ascii="Times New Roman" w:eastAsia="Times New Roman" w:hAnsi="Times New Roman" w:cs="Times New Roman"/>
          <w:sz w:val="24"/>
          <w:szCs w:val="24"/>
          <w:lang w:eastAsia="ru-RU"/>
        </w:rPr>
        <w:t>містить</w:t>
      </w:r>
      <w:proofErr w:type="gramEnd"/>
      <w:r w:rsidRPr="003054E7">
        <w:rPr>
          <w:rFonts w:ascii="Times New Roman" w:eastAsia="Times New Roman" w:hAnsi="Times New Roman" w:cs="Times New Roman"/>
          <w:sz w:val="24"/>
          <w:szCs w:val="24"/>
          <w:lang w:eastAsia="ru-RU"/>
        </w:rPr>
        <w:t xml:space="preserve"> усю відповідну докладну інформацію про характеристики цільної плазми людини, що використовується як вихідний матеріал та/або сировина для виробництва субфракцій/проміжних фракцій, компонентів допоміжних та активних речовин, які є частиною лікарського засобу.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Кожний центр або установа, що займається фракціонуванням/обробкою плазми людини, має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ідготувати та наповнювати свіжими даними набір відповідної докладної інформації, про яку йдеться у ПМФ.</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Заявник, який реєструє лікарський засіб, </w:t>
      </w:r>
      <w:proofErr w:type="gramStart"/>
      <w:r w:rsidRPr="003054E7">
        <w:rPr>
          <w:rFonts w:ascii="Times New Roman" w:eastAsia="Times New Roman" w:hAnsi="Times New Roman" w:cs="Times New Roman"/>
          <w:sz w:val="24"/>
          <w:szCs w:val="24"/>
          <w:lang w:eastAsia="ru-RU"/>
        </w:rPr>
        <w:t>повинен</w:t>
      </w:r>
      <w:proofErr w:type="gramEnd"/>
      <w:r w:rsidRPr="003054E7">
        <w:rPr>
          <w:rFonts w:ascii="Times New Roman" w:eastAsia="Times New Roman" w:hAnsi="Times New Roman" w:cs="Times New Roman"/>
          <w:sz w:val="24"/>
          <w:szCs w:val="24"/>
          <w:lang w:eastAsia="ru-RU"/>
        </w:rPr>
        <w:t xml:space="preserve"> надати до Центру ПМФ. </w:t>
      </w: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xml:space="preserve"> разі вже зареєстрованого лікарського засобу з крові/плазми заявник повинен надавати до Центру ПМФ. Якщо заявник не є власником ПМФ, власник повинен надати </w:t>
      </w:r>
      <w:proofErr w:type="gramStart"/>
      <w:r w:rsidRPr="003054E7">
        <w:rPr>
          <w:rFonts w:ascii="Times New Roman" w:eastAsia="Times New Roman" w:hAnsi="Times New Roman" w:cs="Times New Roman"/>
          <w:sz w:val="24"/>
          <w:szCs w:val="24"/>
          <w:lang w:eastAsia="ru-RU"/>
        </w:rPr>
        <w:t>св</w:t>
      </w:r>
      <w:proofErr w:type="gramEnd"/>
      <w:r w:rsidRPr="003054E7">
        <w:rPr>
          <w:rFonts w:ascii="Times New Roman" w:eastAsia="Times New Roman" w:hAnsi="Times New Roman" w:cs="Times New Roman"/>
          <w:sz w:val="24"/>
          <w:szCs w:val="24"/>
          <w:lang w:eastAsia="ru-RU"/>
        </w:rPr>
        <w:t>ій майстер-файл заявнику для його подання до Центру. У будь-якому разі відповідальність за </w:t>
      </w:r>
      <w:proofErr w:type="gramStart"/>
      <w:r w:rsidRPr="003054E7">
        <w:rPr>
          <w:rFonts w:ascii="Times New Roman" w:eastAsia="Times New Roman" w:hAnsi="Times New Roman" w:cs="Times New Roman"/>
          <w:sz w:val="24"/>
          <w:szCs w:val="24"/>
          <w:lang w:eastAsia="ru-RU"/>
        </w:rPr>
        <w:t>л</w:t>
      </w:r>
      <w:proofErr w:type="gramEnd"/>
      <w:r w:rsidRPr="003054E7">
        <w:rPr>
          <w:rFonts w:ascii="Times New Roman" w:eastAsia="Times New Roman" w:hAnsi="Times New Roman" w:cs="Times New Roman"/>
          <w:sz w:val="24"/>
          <w:szCs w:val="24"/>
          <w:lang w:eastAsia="ru-RU"/>
        </w:rPr>
        <w:t>ікарський засіб покладається на заявника.</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Центр </w:t>
      </w: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w:t>
      </w:r>
      <w:proofErr w:type="gramStart"/>
      <w:r w:rsidRPr="003054E7">
        <w:rPr>
          <w:rFonts w:ascii="Times New Roman" w:eastAsia="Times New Roman" w:hAnsi="Times New Roman" w:cs="Times New Roman"/>
          <w:sz w:val="24"/>
          <w:szCs w:val="24"/>
          <w:lang w:eastAsia="ru-RU"/>
        </w:rPr>
        <w:t>раз</w:t>
      </w:r>
      <w:proofErr w:type="gramEnd"/>
      <w:r w:rsidRPr="003054E7">
        <w:rPr>
          <w:rFonts w:ascii="Times New Roman" w:eastAsia="Times New Roman" w:hAnsi="Times New Roman" w:cs="Times New Roman"/>
          <w:sz w:val="24"/>
          <w:szCs w:val="24"/>
          <w:lang w:eastAsia="ru-RU"/>
        </w:rPr>
        <w:t xml:space="preserve">і проведення експертизи реєстраційного досьє враховує сертифікат відповідності на ПМФ, виданий МОЗ або уповноваженим регуляторним органом країни — виробника лікарського засобу з крові/плазми за результатами експертної оцінки ПМФ. У будь-якому реєстраційному досьє на лікарський засіб, що </w:t>
      </w:r>
      <w:proofErr w:type="gramStart"/>
      <w:r w:rsidRPr="003054E7">
        <w:rPr>
          <w:rFonts w:ascii="Times New Roman" w:eastAsia="Times New Roman" w:hAnsi="Times New Roman" w:cs="Times New Roman"/>
          <w:sz w:val="24"/>
          <w:szCs w:val="24"/>
          <w:lang w:eastAsia="ru-RU"/>
        </w:rPr>
        <w:t>містить</w:t>
      </w:r>
      <w:proofErr w:type="gramEnd"/>
      <w:r w:rsidRPr="003054E7">
        <w:rPr>
          <w:rFonts w:ascii="Times New Roman" w:eastAsia="Times New Roman" w:hAnsi="Times New Roman" w:cs="Times New Roman"/>
          <w:sz w:val="24"/>
          <w:szCs w:val="24"/>
          <w:lang w:eastAsia="ru-RU"/>
        </w:rPr>
        <w:t xml:space="preserve"> компоненти, отримані з плазми людини, має бути посилання на ПМФ, який відповідає саме тій плазмі, що використовувалася як вихідний матеріал/сировина.</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Змі</w:t>
      </w:r>
      <w:proofErr w:type="gramStart"/>
      <w:r w:rsidRPr="003054E7">
        <w:rPr>
          <w:rFonts w:ascii="Times New Roman" w:eastAsia="Times New Roman" w:hAnsi="Times New Roman" w:cs="Times New Roman"/>
          <w:sz w:val="24"/>
          <w:szCs w:val="24"/>
          <w:lang w:eastAsia="ru-RU"/>
        </w:rPr>
        <w:t>ст</w:t>
      </w:r>
      <w:proofErr w:type="gramEnd"/>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ПМФ має містити інформацію про плазму, що використовувалася як вихідний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іал/сировина, а саме:</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походження плазми: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інформація про центри або установи, у яких проводиться відбі</w:t>
      </w:r>
      <w:proofErr w:type="gramStart"/>
      <w:r w:rsidRPr="003054E7">
        <w:rPr>
          <w:rFonts w:ascii="Times New Roman" w:eastAsia="Times New Roman" w:hAnsi="Times New Roman" w:cs="Times New Roman"/>
          <w:sz w:val="24"/>
          <w:szCs w:val="24"/>
          <w:lang w:eastAsia="ru-RU"/>
        </w:rPr>
        <w:t>р</w:t>
      </w:r>
      <w:proofErr w:type="gramEnd"/>
      <w:r w:rsidRPr="003054E7">
        <w:rPr>
          <w:rFonts w:ascii="Times New Roman" w:eastAsia="Times New Roman" w:hAnsi="Times New Roman" w:cs="Times New Roman"/>
          <w:sz w:val="24"/>
          <w:szCs w:val="24"/>
          <w:lang w:eastAsia="ru-RU"/>
        </w:rPr>
        <w:t xml:space="preserve"> крові/плазми, включаючи дані про проведені інспекції та отриману акредитацію, а також епідеміологічні дані про інфекції, які передаються через кров;</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lastRenderedPageBreak/>
        <w:t xml:space="preserve">інформація про центри або установи, у яких проводиться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зразків донорської крові і пулів плазми, включаючи дані про проведені інспекції та отриману акредитацію;</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критерії відбору донорів крові/плазми;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прийнята система, що дає можливість відстежити шлях кожного донорського зразка від закладу, де здійснюється забі</w:t>
      </w:r>
      <w:proofErr w:type="gramStart"/>
      <w:r w:rsidRPr="003054E7">
        <w:rPr>
          <w:rFonts w:ascii="Times New Roman" w:eastAsia="Times New Roman" w:hAnsi="Times New Roman" w:cs="Times New Roman"/>
          <w:sz w:val="24"/>
          <w:szCs w:val="24"/>
          <w:lang w:eastAsia="ru-RU"/>
        </w:rPr>
        <w:t>р</w:t>
      </w:r>
      <w:proofErr w:type="gramEnd"/>
      <w:r w:rsidRPr="003054E7">
        <w:rPr>
          <w:rFonts w:ascii="Times New Roman" w:eastAsia="Times New Roman" w:hAnsi="Times New Roman" w:cs="Times New Roman"/>
          <w:sz w:val="24"/>
          <w:szCs w:val="24"/>
          <w:lang w:eastAsia="ru-RU"/>
        </w:rPr>
        <w:t xml:space="preserve"> крові/плазми, до готового лікарського засобу і навпаки;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якість та безпека плазми: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відповідність монографії Європейської фармакопеї або ДФУ;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контроль відібраної донорської крові/плазми та пулів на наявність збудників інфекцій, включаючи опис методів аналізу та у разі пулів плазми — дані з валідації використаних методі</w:t>
      </w:r>
      <w:proofErr w:type="gramStart"/>
      <w:r w:rsidRPr="003054E7">
        <w:rPr>
          <w:rFonts w:ascii="Times New Roman" w:eastAsia="Times New Roman" w:hAnsi="Times New Roman" w:cs="Times New Roman"/>
          <w:sz w:val="24"/>
          <w:szCs w:val="24"/>
          <w:lang w:eastAsia="ru-RU"/>
        </w:rPr>
        <w:t>в</w:t>
      </w:r>
      <w:proofErr w:type="gramEnd"/>
      <w:r w:rsidRPr="003054E7">
        <w:rPr>
          <w:rFonts w:ascii="Times New Roman" w:eastAsia="Times New Roman" w:hAnsi="Times New Roman" w:cs="Times New Roman"/>
          <w:sz w:val="24"/>
          <w:szCs w:val="24"/>
          <w:lang w:eastAsia="ru-RU"/>
        </w:rPr>
        <w:t xml:space="preserve"> аналізу;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техн</w:t>
      </w:r>
      <w:proofErr w:type="gramEnd"/>
      <w:r w:rsidRPr="003054E7">
        <w:rPr>
          <w:rFonts w:ascii="Times New Roman" w:eastAsia="Times New Roman" w:hAnsi="Times New Roman" w:cs="Times New Roman"/>
          <w:sz w:val="24"/>
          <w:szCs w:val="24"/>
          <w:lang w:eastAsia="ru-RU"/>
        </w:rPr>
        <w:t>ічні характеристики контейнерів для відбору крові та плазми, включаючи інформацію про використані розчини антикоагулянтів;</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умови зберігання та транспортування плазми;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процедура будь-якого </w:t>
      </w:r>
      <w:proofErr w:type="gramStart"/>
      <w:r w:rsidRPr="003054E7">
        <w:rPr>
          <w:rFonts w:ascii="Times New Roman" w:eastAsia="Times New Roman" w:hAnsi="Times New Roman" w:cs="Times New Roman"/>
          <w:sz w:val="24"/>
          <w:szCs w:val="24"/>
          <w:lang w:eastAsia="ru-RU"/>
        </w:rPr>
        <w:t>карантинного</w:t>
      </w:r>
      <w:proofErr w:type="gramEnd"/>
      <w:r w:rsidRPr="003054E7">
        <w:rPr>
          <w:rFonts w:ascii="Times New Roman" w:eastAsia="Times New Roman" w:hAnsi="Times New Roman" w:cs="Times New Roman"/>
          <w:sz w:val="24"/>
          <w:szCs w:val="24"/>
          <w:lang w:eastAsia="ru-RU"/>
        </w:rPr>
        <w:t xml:space="preserve"> зберігання та/або період карантину;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характеристика пулу плазми;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інформація про систему взаємодії між виробником одержаного з плазми лікарського засобу та/або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ідприємством, що здійснює фракціонування/обробку плазми, з однієї сторони, та центрами або установами з відбору крові/плазми та контролю, з іншої сторони, яка визначає умови їхньої взаємодії та погодження специфікацій.</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Додатково ПМФ має також містити перелік лікарських засобів, отриманих з цієї плазми, інформацію про реєстрацію цих лікарських засобів або про те, що </w:t>
      </w:r>
      <w:proofErr w:type="gramStart"/>
      <w:r w:rsidRPr="003054E7">
        <w:rPr>
          <w:rFonts w:ascii="Times New Roman" w:eastAsia="Times New Roman" w:hAnsi="Times New Roman" w:cs="Times New Roman"/>
          <w:sz w:val="24"/>
          <w:szCs w:val="24"/>
          <w:lang w:eastAsia="ru-RU"/>
        </w:rPr>
        <w:t>вони ще</w:t>
      </w:r>
      <w:proofErr w:type="gramEnd"/>
      <w:r w:rsidRPr="003054E7">
        <w:rPr>
          <w:rFonts w:ascii="Times New Roman" w:eastAsia="Times New Roman" w:hAnsi="Times New Roman" w:cs="Times New Roman"/>
          <w:sz w:val="24"/>
          <w:szCs w:val="24"/>
          <w:lang w:eastAsia="ru-RU"/>
        </w:rPr>
        <w:t xml:space="preserve"> перебувають у процесі реєстрації, включаючи лікарські засоби, виготовлені для клінічних випробувань.</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Оцінка та сертифікація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Заявник надає до Центру повне реєстраційне дось</w:t>
      </w:r>
      <w:proofErr w:type="gramStart"/>
      <w:r w:rsidRPr="003054E7">
        <w:rPr>
          <w:rFonts w:ascii="Times New Roman" w:eastAsia="Times New Roman" w:hAnsi="Times New Roman" w:cs="Times New Roman"/>
          <w:sz w:val="24"/>
          <w:szCs w:val="24"/>
          <w:lang w:eastAsia="ru-RU"/>
        </w:rPr>
        <w:t>є,</w:t>
      </w:r>
      <w:proofErr w:type="gramEnd"/>
      <w:r w:rsidRPr="003054E7">
        <w:rPr>
          <w:rFonts w:ascii="Times New Roman" w:eastAsia="Times New Roman" w:hAnsi="Times New Roman" w:cs="Times New Roman"/>
          <w:sz w:val="24"/>
          <w:szCs w:val="24"/>
          <w:lang w:eastAsia="ru-RU"/>
        </w:rPr>
        <w:t xml:space="preserve"> яке супроводжується окремим ПМФ.</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ПМФ на лікарський засіб з крові/плазми, що вироблений в Україні,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ідлягає експертній оцінці, яку проводить Центр.</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Для проведення такої оцінки заявник подає до Центру ПМФ для проведення його оцінки та заяву в одному примірнику </w:t>
      </w:r>
      <w:proofErr w:type="gramStart"/>
      <w:r w:rsidRPr="003054E7">
        <w:rPr>
          <w:rFonts w:ascii="Times New Roman" w:eastAsia="Times New Roman" w:hAnsi="Times New Roman" w:cs="Times New Roman"/>
          <w:sz w:val="24"/>
          <w:szCs w:val="24"/>
          <w:lang w:eastAsia="ru-RU"/>
        </w:rPr>
        <w:t>англ</w:t>
      </w:r>
      <w:proofErr w:type="gramEnd"/>
      <w:r w:rsidRPr="003054E7">
        <w:rPr>
          <w:rFonts w:ascii="Times New Roman" w:eastAsia="Times New Roman" w:hAnsi="Times New Roman" w:cs="Times New Roman"/>
          <w:sz w:val="24"/>
          <w:szCs w:val="24"/>
          <w:lang w:eastAsia="ru-RU"/>
        </w:rPr>
        <w:t xml:space="preserve">ійською або українською мовою у паперовому вигляді або в електронному форматі на вибір заявника. Центр приймає до розгляду ПМФ </w:t>
      </w: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день його подання заявником.</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Проведення оцінки ПМФ включає такі етапи: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перевірка повноти та достовірності інформації, що міститься у ПМФ, відповідно до вимог, визначених цим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ідпунктом, з урахуванням чинних на час проведення такої оцінки норм законодавства України стосовно якості та безпеки донорської крові та її компонентів;</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ідготовка висновку експертної оцінки ПМФ, здійсненої Центром.</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Центр має право двічі запитати у заявника додаткові дані та/або інформацію, необхідні для проведення оцінки ПМФ. Заявник має надати додаткові дані та/або інформацію згідно із зауваженнями Центру у строк до 30 робочих днів або лист з обґрунтуванням строків, необхідних для їх доопрацювання (</w:t>
      </w:r>
      <w:proofErr w:type="gramStart"/>
      <w:r w:rsidRPr="003054E7">
        <w:rPr>
          <w:rFonts w:ascii="Times New Roman" w:eastAsia="Times New Roman" w:hAnsi="Times New Roman" w:cs="Times New Roman"/>
          <w:sz w:val="24"/>
          <w:szCs w:val="24"/>
          <w:lang w:eastAsia="ru-RU"/>
        </w:rPr>
        <w:t>не б</w:t>
      </w:r>
      <w:proofErr w:type="gramEnd"/>
      <w:r w:rsidRPr="003054E7">
        <w:rPr>
          <w:rFonts w:ascii="Times New Roman" w:eastAsia="Times New Roman" w:hAnsi="Times New Roman" w:cs="Times New Roman"/>
          <w:sz w:val="24"/>
          <w:szCs w:val="24"/>
          <w:lang w:eastAsia="ru-RU"/>
        </w:rPr>
        <w:t xml:space="preserve">ільше ніж 20 робочих днів). Час, потрібний для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ідготовки та подання додаткових даних та/або інформації, не входить до строку проведення оцінки ПМФ. Центр має прийняти доопрацьовані заявником матеріали </w:t>
      </w: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день звернення заявника.</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lastRenderedPageBreak/>
        <w:t>Строк проведення оцінки ПМФ не може перевищувати 60 робочих дні</w:t>
      </w:r>
      <w:proofErr w:type="gramStart"/>
      <w:r w:rsidRPr="003054E7">
        <w:rPr>
          <w:rFonts w:ascii="Times New Roman" w:eastAsia="Times New Roman" w:hAnsi="Times New Roman" w:cs="Times New Roman"/>
          <w:sz w:val="24"/>
          <w:szCs w:val="24"/>
          <w:lang w:eastAsia="ru-RU"/>
        </w:rPr>
        <w:t>в</w:t>
      </w:r>
      <w:proofErr w:type="gramEnd"/>
      <w:r w:rsidRPr="003054E7">
        <w:rPr>
          <w:rFonts w:ascii="Times New Roman" w:eastAsia="Times New Roman" w:hAnsi="Times New Roman" w:cs="Times New Roman"/>
          <w:sz w:val="24"/>
          <w:szCs w:val="24"/>
          <w:lang w:eastAsia="ru-RU"/>
        </w:rPr>
        <w:t>.</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У разі позитивного висновку за результатами здійсненої Центром експертної оцінки ПМФ на лікарський засіб, що вироблений в Україні, МОЗ у десятиденний термін затверджує Сертифікат відповідності на майстер-файл на плазму (далі — Сертифікат відповідності на ПМФ) згідно із додатком 28 до Порядку.</w:t>
      </w:r>
      <w:proofErr w:type="gramEnd"/>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разі зміни даних, що зазначені у ПМФ, такий ПМФ оновлюється та повторно сертифікується відповідно до вимог цього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ідпункту. Оновлений Сертифікат відповідності на ПМФ долучається до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 xml:space="preserve">іалів реєстраційного досьє відповідно до положень розділу VI Порядку. Умови для внесення </w:t>
      </w:r>
      <w:proofErr w:type="gramStart"/>
      <w:r w:rsidRPr="003054E7">
        <w:rPr>
          <w:rFonts w:ascii="Times New Roman" w:eastAsia="Times New Roman" w:hAnsi="Times New Roman" w:cs="Times New Roman"/>
          <w:sz w:val="24"/>
          <w:szCs w:val="24"/>
          <w:lang w:eastAsia="ru-RU"/>
        </w:rPr>
        <w:t>таких</w:t>
      </w:r>
      <w:proofErr w:type="gramEnd"/>
      <w:r w:rsidRPr="003054E7">
        <w:rPr>
          <w:rFonts w:ascii="Times New Roman" w:eastAsia="Times New Roman" w:hAnsi="Times New Roman" w:cs="Times New Roman"/>
          <w:sz w:val="24"/>
          <w:szCs w:val="24"/>
          <w:lang w:eastAsia="ru-RU"/>
        </w:rPr>
        <w:t xml:space="preserve"> змін викладені у розділі Б.V.а) додатка 17 до Порядку.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 час прийняття рішення про реєстрацію лікарського засобу уповноважений орган має брати до уваги сертифікацію, повторну сертифікацію або зміни до ПМФ, що стосуються лікарського засобу, який перебуває на стадії реєстрації.»;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3) у додатку 17 слова та цифри «настанови СТ-Н МОЗУ 42-7.1:2014», «настанови СТ-Н МОЗУ 42-7.1:2014 (чинне видання)» замінити словами та цифрами «чинної редакції настанови СТ-Н МОЗУ 42-7.2:2018»;</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4) додаток 18 виключити.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зв’язку з цим додатки 19 — 28 вважати відповідно додатками 18 — 27;</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5) пункт 3 додатка 20 викласти </w:t>
      </w:r>
      <w:proofErr w:type="gramStart"/>
      <w:r w:rsidRPr="003054E7">
        <w:rPr>
          <w:rFonts w:ascii="Times New Roman" w:eastAsia="Times New Roman" w:hAnsi="Times New Roman" w:cs="Times New Roman"/>
          <w:sz w:val="24"/>
          <w:szCs w:val="24"/>
          <w:lang w:eastAsia="ru-RU"/>
        </w:rPr>
        <w:t>в</w:t>
      </w:r>
      <w:proofErr w:type="gramEnd"/>
      <w:r w:rsidRPr="003054E7">
        <w:rPr>
          <w:rFonts w:ascii="Times New Roman" w:eastAsia="Times New Roman" w:hAnsi="Times New Roman" w:cs="Times New Roman"/>
          <w:sz w:val="24"/>
          <w:szCs w:val="24"/>
          <w:lang w:eastAsia="ru-RU"/>
        </w:rPr>
        <w:t>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«3. Текст інструкції для медичного застосування лікарського засобу </w:t>
      </w:r>
      <w:proofErr w:type="gramStart"/>
      <w:r w:rsidRPr="003054E7">
        <w:rPr>
          <w:rFonts w:ascii="Times New Roman" w:eastAsia="Times New Roman" w:hAnsi="Times New Roman" w:cs="Times New Roman"/>
          <w:sz w:val="24"/>
          <w:szCs w:val="24"/>
          <w:lang w:eastAsia="ru-RU"/>
        </w:rPr>
        <w:t>повинен</w:t>
      </w:r>
      <w:proofErr w:type="gramEnd"/>
      <w:r w:rsidRPr="003054E7">
        <w:rPr>
          <w:rFonts w:ascii="Times New Roman" w:eastAsia="Times New Roman" w:hAnsi="Times New Roman" w:cs="Times New Roman"/>
          <w:sz w:val="24"/>
          <w:szCs w:val="24"/>
          <w:lang w:eastAsia="ru-RU"/>
        </w:rPr>
        <w:t xml:space="preserve"> бути викладений чітко, українською мовою. За бажанням виробника/заявника поряд із текстом українською мовою додатково текст інструкції може дублюватися будь-якими іншими мовами за умови, що в текстах </w:t>
      </w:r>
      <w:proofErr w:type="gramStart"/>
      <w:r w:rsidRPr="003054E7">
        <w:rPr>
          <w:rFonts w:ascii="Times New Roman" w:eastAsia="Times New Roman" w:hAnsi="Times New Roman" w:cs="Times New Roman"/>
          <w:sz w:val="24"/>
          <w:szCs w:val="24"/>
          <w:lang w:eastAsia="ru-RU"/>
        </w:rPr>
        <w:t>р</w:t>
      </w:r>
      <w:proofErr w:type="gramEnd"/>
      <w:r w:rsidRPr="003054E7">
        <w:rPr>
          <w:rFonts w:ascii="Times New Roman" w:eastAsia="Times New Roman" w:hAnsi="Times New Roman" w:cs="Times New Roman"/>
          <w:sz w:val="24"/>
          <w:szCs w:val="24"/>
          <w:lang w:eastAsia="ru-RU"/>
        </w:rPr>
        <w:t>ізними мовами буде наведено ідентичну інформацію.»;</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6)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 1.6.2 підпункту 1.6 пункту 1 додатка 23 викласти в такій редакції: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«1.6.2. Текст маркування викладається українською мовою. За бажанням виробника/заявника разом із текстом маркування українською мовою додатково текст маркування може дублюватися будь-якими іншими мовами за умови, що в текстах </w:t>
      </w:r>
      <w:proofErr w:type="gramStart"/>
      <w:r w:rsidRPr="003054E7">
        <w:rPr>
          <w:rFonts w:ascii="Times New Roman" w:eastAsia="Times New Roman" w:hAnsi="Times New Roman" w:cs="Times New Roman"/>
          <w:sz w:val="24"/>
          <w:szCs w:val="24"/>
          <w:lang w:eastAsia="ru-RU"/>
        </w:rPr>
        <w:t>р</w:t>
      </w:r>
      <w:proofErr w:type="gramEnd"/>
      <w:r w:rsidRPr="003054E7">
        <w:rPr>
          <w:rFonts w:ascii="Times New Roman" w:eastAsia="Times New Roman" w:hAnsi="Times New Roman" w:cs="Times New Roman"/>
          <w:sz w:val="24"/>
          <w:szCs w:val="24"/>
          <w:lang w:eastAsia="ru-RU"/>
        </w:rPr>
        <w:t>ізними мовами буде наведено ідентичну інформацію.»;</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7) доповнити Порядок новими додатками 28 — 32, що додаються.</w:t>
      </w:r>
    </w:p>
    <w:p w:rsidR="003054E7" w:rsidRPr="003054E7" w:rsidRDefault="003054E7" w:rsidP="003054E7">
      <w:pPr>
        <w:pBdr>
          <w:bottom w:val="single" w:sz="6" w:space="0" w:color="auto"/>
        </w:pBd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b/>
          <w:bCs/>
          <w:i/>
          <w:iCs/>
          <w:sz w:val="24"/>
          <w:szCs w:val="24"/>
          <w:lang w:eastAsia="ru-RU"/>
        </w:rPr>
        <w:t>Генеральний директор</w:t>
      </w:r>
      <w:r w:rsidRPr="003054E7">
        <w:rPr>
          <w:rFonts w:ascii="Times New Roman" w:eastAsia="Times New Roman" w:hAnsi="Times New Roman" w:cs="Times New Roman"/>
          <w:b/>
          <w:bCs/>
          <w:i/>
          <w:iCs/>
          <w:sz w:val="24"/>
          <w:szCs w:val="24"/>
          <w:lang w:eastAsia="ru-RU"/>
        </w:rPr>
        <w:br/>
        <w:t>Фармацевтичного директоратуО. Комаріда</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Додаток 28</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до Порядку проведення експертизи реєстраційних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на лікарські засоби,</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що подаються на державну реєстрацію (перереєстрацію),</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а також експертизи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про внесення змін до реєстраційних матеріалів</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протягом дії реєстраційного посвідчення</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(пункт 4 розділу IV)</w:t>
      </w:r>
    </w:p>
    <w:p w:rsidR="003054E7" w:rsidRPr="003054E7" w:rsidRDefault="003054E7" w:rsidP="003054E7">
      <w:pPr>
        <w:shd w:val="clear" w:color="auto" w:fill="FFFFFF"/>
        <w:spacing w:after="150" w:line="240" w:lineRule="auto"/>
        <w:jc w:val="center"/>
        <w:outlineLvl w:val="1"/>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СЕРТИФІКАТ ВІДПОВІДНОСТІ</w:t>
      </w:r>
      <w:r w:rsidRPr="003054E7">
        <w:rPr>
          <w:rFonts w:ascii="Times New Roman" w:eastAsia="Times New Roman" w:hAnsi="Times New Roman" w:cs="Times New Roman"/>
          <w:sz w:val="24"/>
          <w:szCs w:val="24"/>
          <w:lang w:eastAsia="ru-RU"/>
        </w:rPr>
        <w:br/>
        <w:t>НА МАЙСТЕР-ФАЙЛ НА ПЛАЗМУ</w:t>
      </w:r>
      <w:r w:rsidRPr="003054E7">
        <w:rPr>
          <w:rFonts w:ascii="Times New Roman" w:eastAsia="Times New Roman" w:hAnsi="Times New Roman" w:cs="Times New Roman"/>
          <w:sz w:val="24"/>
          <w:szCs w:val="24"/>
          <w:lang w:eastAsia="ru-RU"/>
        </w:rPr>
        <w:br/>
        <w:t>№ _______</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lastRenderedPageBreak/>
        <w:t xml:space="preserve">Сертифікат відповідності на майстер-файл на плазму видано за результатами позитивної оцінки майстер-файлу на плазму, проведеної Державним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ідприємством «Державний експертний центр Міністерства охорони здоров’я України».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Термін дії Сертифіката відповідності на майстер-файл на плазму необмежений.</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Сертифікат відповідності на майстер-файл на плазму залишається чинним доти, доки не буде </w:t>
      </w:r>
      <w:proofErr w:type="gramStart"/>
      <w:r w:rsidRPr="003054E7">
        <w:rPr>
          <w:rFonts w:ascii="Times New Roman" w:eastAsia="Times New Roman" w:hAnsi="Times New Roman" w:cs="Times New Roman"/>
          <w:sz w:val="24"/>
          <w:szCs w:val="24"/>
          <w:lang w:eastAsia="ru-RU"/>
        </w:rPr>
        <w:t>проведена</w:t>
      </w:r>
      <w:proofErr w:type="gramEnd"/>
      <w:r w:rsidRPr="003054E7">
        <w:rPr>
          <w:rFonts w:ascii="Times New Roman" w:eastAsia="Times New Roman" w:hAnsi="Times New Roman" w:cs="Times New Roman"/>
          <w:sz w:val="24"/>
          <w:szCs w:val="24"/>
          <w:lang w:eastAsia="ru-RU"/>
        </w:rPr>
        <w:t xml:space="preserve"> повторна оцінка майстер-файлу на плазму згідно із встановленими вимогами.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Заявник та </w:t>
      </w:r>
      <w:proofErr w:type="gramStart"/>
      <w:r w:rsidRPr="003054E7">
        <w:rPr>
          <w:rFonts w:ascii="Times New Roman" w:eastAsia="Times New Roman" w:hAnsi="Times New Roman" w:cs="Times New Roman"/>
          <w:sz w:val="24"/>
          <w:szCs w:val="24"/>
          <w:lang w:eastAsia="ru-RU"/>
        </w:rPr>
        <w:t>його м</w:t>
      </w:r>
      <w:proofErr w:type="gramEnd"/>
      <w:r w:rsidRPr="003054E7">
        <w:rPr>
          <w:rFonts w:ascii="Times New Roman" w:eastAsia="Times New Roman" w:hAnsi="Times New Roman" w:cs="Times New Roman"/>
          <w:sz w:val="24"/>
          <w:szCs w:val="24"/>
          <w:lang w:eastAsia="ru-RU"/>
        </w:rPr>
        <w:t>ісцезнаходження ____________________________</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Період збирання даних ______________________________________</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Перелік </w:t>
      </w:r>
      <w:proofErr w:type="gramStart"/>
      <w:r w:rsidRPr="003054E7">
        <w:rPr>
          <w:rFonts w:ascii="Times New Roman" w:eastAsia="Times New Roman" w:hAnsi="Times New Roman" w:cs="Times New Roman"/>
          <w:sz w:val="24"/>
          <w:szCs w:val="24"/>
          <w:lang w:eastAsia="ru-RU"/>
        </w:rPr>
        <w:t>л</w:t>
      </w:r>
      <w:proofErr w:type="gramEnd"/>
      <w:r w:rsidRPr="003054E7">
        <w:rPr>
          <w:rFonts w:ascii="Times New Roman" w:eastAsia="Times New Roman" w:hAnsi="Times New Roman" w:cs="Times New Roman"/>
          <w:sz w:val="24"/>
          <w:szCs w:val="24"/>
          <w:lang w:eastAsia="ru-RU"/>
        </w:rPr>
        <w:t>ікарських засобів, отриманих з плазми, щодо якої видано Сертифікат відповідності на майстер-файл на плазму _________________________________________________________________</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Дата видачі ___ ____________ 20__ р.</w:t>
      </w:r>
    </w:p>
    <w:tbl>
      <w:tblPr>
        <w:tblW w:w="5000" w:type="pct"/>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83"/>
        <w:gridCol w:w="1939"/>
        <w:gridCol w:w="3783"/>
      </w:tblGrid>
      <w:tr w:rsidR="003054E7" w:rsidRPr="003054E7" w:rsidTr="001A59F0">
        <w:trPr>
          <w:jc w:val="center"/>
        </w:trPr>
        <w:tc>
          <w:tcPr>
            <w:tcW w:w="199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______________________</w:t>
            </w:r>
            <w:r w:rsidRPr="003054E7">
              <w:rPr>
                <w:rFonts w:ascii="Times New Roman" w:eastAsia="Times New Roman" w:hAnsi="Times New Roman" w:cs="Times New Roman"/>
                <w:sz w:val="24"/>
                <w:szCs w:val="24"/>
                <w:lang w:eastAsia="ru-RU"/>
              </w:rPr>
              <w:br/>
              <w:t>(посада особи)</w:t>
            </w:r>
          </w:p>
        </w:tc>
        <w:tc>
          <w:tcPr>
            <w:tcW w:w="102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__________</w:t>
            </w:r>
            <w:r w:rsidRPr="003054E7">
              <w:rPr>
                <w:rFonts w:ascii="Times New Roman" w:eastAsia="Times New Roman" w:hAnsi="Times New Roman" w:cs="Times New Roman"/>
                <w:sz w:val="24"/>
                <w:szCs w:val="24"/>
                <w:lang w:eastAsia="ru-RU"/>
              </w:rPr>
              <w:br/>
              <w:t>(</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ідпис)</w:t>
            </w:r>
          </w:p>
        </w:tc>
        <w:tc>
          <w:tcPr>
            <w:tcW w:w="199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________________________</w:t>
            </w:r>
            <w:r w:rsidRPr="003054E7">
              <w:rPr>
                <w:rFonts w:ascii="Times New Roman" w:eastAsia="Times New Roman" w:hAnsi="Times New Roman" w:cs="Times New Roman"/>
                <w:sz w:val="24"/>
                <w:szCs w:val="24"/>
                <w:lang w:eastAsia="ru-RU"/>
              </w:rPr>
              <w:br/>
              <w:t>(</w:t>
            </w:r>
            <w:proofErr w:type="gramStart"/>
            <w:r w:rsidRPr="003054E7">
              <w:rPr>
                <w:rFonts w:ascii="Times New Roman" w:eastAsia="Times New Roman" w:hAnsi="Times New Roman" w:cs="Times New Roman"/>
                <w:sz w:val="24"/>
                <w:szCs w:val="24"/>
                <w:lang w:eastAsia="ru-RU"/>
              </w:rPr>
              <w:t>пр</w:t>
            </w:r>
            <w:proofErr w:type="gramEnd"/>
            <w:r w:rsidRPr="003054E7">
              <w:rPr>
                <w:rFonts w:ascii="Times New Roman" w:eastAsia="Times New Roman" w:hAnsi="Times New Roman" w:cs="Times New Roman"/>
                <w:sz w:val="24"/>
                <w:szCs w:val="24"/>
                <w:lang w:eastAsia="ru-RU"/>
              </w:rPr>
              <w:t>ізвище, ініціали)</w:t>
            </w:r>
          </w:p>
        </w:tc>
      </w:tr>
    </w:tbl>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Додаток 29</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до Порядку проведення експертизи реєстраційних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на лікарські засоби,</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що подаються на державну реєстрацію (перереєстрацію),</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а також експертизи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про внесення змін до реєстраційних матеріалів</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протягом дії реєстраційного посвідчення</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(пункт 4 розділу IV)</w:t>
      </w:r>
    </w:p>
    <w:p w:rsidR="003054E7" w:rsidRPr="003054E7" w:rsidRDefault="003054E7" w:rsidP="003054E7">
      <w:pPr>
        <w:shd w:val="clear" w:color="auto" w:fill="FFFFFF"/>
        <w:spacing w:after="150" w:line="240" w:lineRule="auto"/>
        <w:jc w:val="center"/>
        <w:outlineLvl w:val="1"/>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Звіт про доклінічні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w:t>
      </w:r>
    </w:p>
    <w:tbl>
      <w:tblPr>
        <w:tblW w:w="5000" w:type="pct"/>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886"/>
        <w:gridCol w:w="3171"/>
        <w:gridCol w:w="646"/>
        <w:gridCol w:w="781"/>
        <w:gridCol w:w="551"/>
        <w:gridCol w:w="470"/>
        <w:gridCol w:w="2000"/>
      </w:tblGrid>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 </w:t>
            </w:r>
            <w:proofErr w:type="gramStart"/>
            <w:r w:rsidRPr="003054E7">
              <w:rPr>
                <w:rFonts w:ascii="Times New Roman" w:eastAsia="Times New Roman" w:hAnsi="Times New Roman" w:cs="Times New Roman"/>
                <w:sz w:val="24"/>
                <w:szCs w:val="24"/>
                <w:lang w:eastAsia="ru-RU"/>
              </w:rPr>
              <w:t>Назва л</w:t>
            </w:r>
            <w:proofErr w:type="gramEnd"/>
            <w:r w:rsidRPr="003054E7">
              <w:rPr>
                <w:rFonts w:ascii="Times New Roman" w:eastAsia="Times New Roman" w:hAnsi="Times New Roman" w:cs="Times New Roman"/>
                <w:sz w:val="24"/>
                <w:szCs w:val="24"/>
                <w:lang w:eastAsia="ru-RU"/>
              </w:rPr>
              <w:t>ікарського засобу (за наявності — номер реєстраційного посвідчення):</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 тип </w:t>
            </w:r>
            <w:proofErr w:type="gramStart"/>
            <w:r w:rsidRPr="003054E7">
              <w:rPr>
                <w:rFonts w:ascii="Times New Roman" w:eastAsia="Times New Roman" w:hAnsi="Times New Roman" w:cs="Times New Roman"/>
                <w:sz w:val="24"/>
                <w:szCs w:val="24"/>
                <w:lang w:eastAsia="ru-RU"/>
              </w:rPr>
              <w:t>л</w:t>
            </w:r>
            <w:proofErr w:type="gramEnd"/>
            <w:r w:rsidRPr="003054E7">
              <w:rPr>
                <w:rFonts w:ascii="Times New Roman" w:eastAsia="Times New Roman" w:hAnsi="Times New Roman" w:cs="Times New Roman"/>
                <w:sz w:val="24"/>
                <w:szCs w:val="24"/>
                <w:lang w:eastAsia="ru-RU"/>
              </w:rPr>
              <w:t>ікарського засобу, за яким проводилася або планується реєстрація</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2) проведені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w:t>
            </w:r>
          </w:p>
        </w:tc>
        <w:tc>
          <w:tcPr>
            <w:tcW w:w="34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sym w:font="Symbol" w:char="F06F"/>
            </w:r>
          </w:p>
        </w:tc>
        <w:tc>
          <w:tcPr>
            <w:tcW w:w="4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так</w:t>
            </w:r>
          </w:p>
        </w:tc>
        <w:tc>
          <w:tcPr>
            <w:tcW w:w="29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sym w:font="Symbol" w:char="F06F"/>
            </w:r>
          </w:p>
        </w:tc>
        <w:tc>
          <w:tcPr>
            <w:tcW w:w="24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н</w:t>
            </w:r>
            <w:proofErr w:type="gramEnd"/>
            <w:r w:rsidRPr="003054E7">
              <w:rPr>
                <w:rFonts w:ascii="Times New Roman" w:eastAsia="Times New Roman" w:hAnsi="Times New Roman" w:cs="Times New Roman"/>
                <w:sz w:val="24"/>
                <w:szCs w:val="24"/>
                <w:lang w:eastAsia="ru-RU"/>
              </w:rPr>
              <w:t>і</w:t>
            </w:r>
          </w:p>
        </w:tc>
        <w:tc>
          <w:tcPr>
            <w:tcW w:w="105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якщо ні, обґрунтувати</w:t>
            </w: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 Фармакологія:</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1) первинна фармакодинаміка</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 вторинна фармакодинаміка</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lastRenderedPageBreak/>
              <w:t>3) фармакологія безпеки</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4) фармакодинамічні взаємодії</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5000" w:type="pct"/>
            <w:gridSpan w:val="7"/>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3. Фармакокінетика:</w:t>
            </w: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1) аналітичні методики та звіти щодо їх валідації</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 всмоктування</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3) розподіл</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4) метаболізм</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5) виведення</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6) фармакокінетичні взаємодії (доклінічні)</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7) інші фармакокінетичні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5000" w:type="pct"/>
            <w:gridSpan w:val="7"/>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4. Токсикологія:</w:t>
            </w: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 токсичність у разі </w:t>
            </w:r>
            <w:proofErr w:type="gramStart"/>
            <w:r w:rsidRPr="003054E7">
              <w:rPr>
                <w:rFonts w:ascii="Times New Roman" w:eastAsia="Times New Roman" w:hAnsi="Times New Roman" w:cs="Times New Roman"/>
                <w:sz w:val="24"/>
                <w:szCs w:val="24"/>
                <w:lang w:eastAsia="ru-RU"/>
              </w:rPr>
              <w:t>одноразового</w:t>
            </w:r>
            <w:proofErr w:type="gramEnd"/>
            <w:r w:rsidRPr="003054E7">
              <w:rPr>
                <w:rFonts w:ascii="Times New Roman" w:eastAsia="Times New Roman" w:hAnsi="Times New Roman" w:cs="Times New Roman"/>
                <w:sz w:val="24"/>
                <w:szCs w:val="24"/>
                <w:lang w:eastAsia="ru-RU"/>
              </w:rPr>
              <w:t xml:space="preserve"> введення</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2) токсичність </w:t>
            </w: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разі повторних введень</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3) генотоксичність:</w:t>
            </w:r>
            <w:r w:rsidRPr="003054E7">
              <w:rPr>
                <w:rFonts w:ascii="Times New Roman" w:eastAsia="Times New Roman" w:hAnsi="Times New Roman" w:cs="Times New Roman"/>
                <w:sz w:val="24"/>
                <w:szCs w:val="24"/>
                <w:lang w:eastAsia="ru-RU"/>
              </w:rPr>
              <w:br/>
            </w:r>
            <w:r w:rsidRPr="003054E7">
              <w:rPr>
                <w:rFonts w:ascii="Times New Roman" w:eastAsia="Times New Roman" w:hAnsi="Times New Roman" w:cs="Times New Roman"/>
                <w:i/>
                <w:iCs/>
                <w:sz w:val="24"/>
                <w:szCs w:val="24"/>
                <w:lang w:eastAsia="ru-RU"/>
              </w:rPr>
              <w:t>in vitro</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i/>
                <w:iCs/>
                <w:sz w:val="24"/>
                <w:szCs w:val="24"/>
                <w:lang w:eastAsia="ru-RU"/>
              </w:rPr>
              <w:t>in vivo</w:t>
            </w:r>
            <w:r w:rsidRPr="003054E7">
              <w:rPr>
                <w:rFonts w:ascii="Times New Roman" w:eastAsia="Times New Roman" w:hAnsi="Times New Roman" w:cs="Times New Roman"/>
                <w:sz w:val="24"/>
                <w:szCs w:val="24"/>
                <w:lang w:eastAsia="ru-RU"/>
              </w:rPr>
              <w:t> (включаючи додаткову оцінку з токсикокінетики)</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4) канцерогенність:</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довгострокові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короткострокові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або дослідження середньої тривалості</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lastRenderedPageBreak/>
              <w:t xml:space="preserve">додаткові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5) репродуктивна токсичність та токсичний вплив на розвиток потомства:</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вплив на фертильність і ранній ембріональний розвиток</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ембріотоксичність</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пренатальна і постнатальна токсичність</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при яких препарат уводиться потомству (нестатевозрілим тваринам) та/або оцінюється віддалена дія</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6) місцева переносимість</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7) додаткові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токсичності:</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антигенність (утворення антитіл)</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імунотоксичність</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механізмів дії</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л</w:t>
            </w:r>
            <w:proofErr w:type="gramEnd"/>
            <w:r w:rsidRPr="003054E7">
              <w:rPr>
                <w:rFonts w:ascii="Times New Roman" w:eastAsia="Times New Roman" w:hAnsi="Times New Roman" w:cs="Times New Roman"/>
                <w:sz w:val="24"/>
                <w:szCs w:val="24"/>
                <w:lang w:eastAsia="ru-RU"/>
              </w:rPr>
              <w:t>ікарська залежність</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токсичність метаболітів</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токсичність домішок</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інше</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660"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5. Висновки щодо доклінічного вивчення</w:t>
            </w:r>
          </w:p>
        </w:tc>
        <w:tc>
          <w:tcPr>
            <w:tcW w:w="2340"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99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Заявник (власник реєстраційного посвідчення)</w:t>
            </w:r>
          </w:p>
        </w:tc>
        <w:tc>
          <w:tcPr>
            <w:tcW w:w="4008" w:type="pct"/>
            <w:gridSpan w:val="6"/>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15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____________________________________</w:t>
            </w:r>
            <w:r w:rsidRPr="003054E7">
              <w:rPr>
                <w:rFonts w:ascii="Times New Roman" w:eastAsia="Times New Roman" w:hAnsi="Times New Roman" w:cs="Times New Roman"/>
                <w:sz w:val="24"/>
                <w:szCs w:val="24"/>
                <w:lang w:eastAsia="ru-RU"/>
              </w:rPr>
              <w:br/>
              <w:t>(</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ідпис)</w:t>
            </w:r>
          </w:p>
          <w:p w:rsidR="003054E7" w:rsidRPr="003054E7" w:rsidRDefault="003054E7" w:rsidP="003054E7">
            <w:pPr>
              <w:spacing w:after="15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____________________________________</w:t>
            </w:r>
            <w:r w:rsidRPr="003054E7">
              <w:rPr>
                <w:rFonts w:ascii="Times New Roman" w:eastAsia="Times New Roman" w:hAnsi="Times New Roman" w:cs="Times New Roman"/>
                <w:sz w:val="24"/>
                <w:szCs w:val="24"/>
                <w:lang w:eastAsia="ru-RU"/>
              </w:rPr>
              <w:br/>
              <w:t>(П. І. Б.)</w:t>
            </w:r>
          </w:p>
        </w:tc>
      </w:tr>
    </w:tbl>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lastRenderedPageBreak/>
        <w:t>Додаток 30</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до Порядку проведення експертизи реєстраційних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на лікарські засоби,</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що подаються на державну реєстрацію (перереєстрацію),</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а також експертизи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про внесення змін до реєстраційних матеріалів</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протягом дії реєстраційного посвідчення</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(пункт 4 розділу IV)</w:t>
      </w:r>
    </w:p>
    <w:p w:rsidR="003054E7" w:rsidRPr="003054E7" w:rsidRDefault="003054E7" w:rsidP="003054E7">
      <w:pPr>
        <w:shd w:val="clear" w:color="auto" w:fill="FFFFFF"/>
        <w:spacing w:after="150" w:line="240" w:lineRule="auto"/>
        <w:jc w:val="center"/>
        <w:outlineLvl w:val="1"/>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Звіт про клінічне випробування</w:t>
      </w:r>
    </w:p>
    <w:tbl>
      <w:tblPr>
        <w:tblW w:w="5000" w:type="pct"/>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09"/>
        <w:gridCol w:w="3662"/>
        <w:gridCol w:w="618"/>
        <w:gridCol w:w="618"/>
        <w:gridCol w:w="523"/>
        <w:gridCol w:w="428"/>
        <w:gridCol w:w="1947"/>
      </w:tblGrid>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 </w:t>
            </w:r>
            <w:proofErr w:type="gramStart"/>
            <w:r w:rsidRPr="003054E7">
              <w:rPr>
                <w:rFonts w:ascii="Times New Roman" w:eastAsia="Times New Roman" w:hAnsi="Times New Roman" w:cs="Times New Roman"/>
                <w:sz w:val="24"/>
                <w:szCs w:val="24"/>
                <w:lang w:eastAsia="ru-RU"/>
              </w:rPr>
              <w:t>Назва л</w:t>
            </w:r>
            <w:proofErr w:type="gramEnd"/>
            <w:r w:rsidRPr="003054E7">
              <w:rPr>
                <w:rFonts w:ascii="Times New Roman" w:eastAsia="Times New Roman" w:hAnsi="Times New Roman" w:cs="Times New Roman"/>
                <w:sz w:val="24"/>
                <w:szCs w:val="24"/>
                <w:lang w:eastAsia="ru-RU"/>
              </w:rPr>
              <w:t>ікарського засобу (за наявності — номер реєстраційного посвідчення)</w:t>
            </w:r>
            <w:bookmarkStart w:id="0" w:name="_GoBack"/>
            <w:bookmarkEnd w:id="0"/>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 Заявник</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3. Виробник</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4. Проведені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w:t>
            </w:r>
          </w:p>
        </w:tc>
        <w:tc>
          <w:tcPr>
            <w:tcW w:w="3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sym w:font="Symbol" w:char="F06F"/>
            </w:r>
          </w:p>
        </w:tc>
        <w:tc>
          <w:tcPr>
            <w:tcW w:w="3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так</w:t>
            </w:r>
          </w:p>
        </w:tc>
        <w:tc>
          <w:tcPr>
            <w:tcW w:w="3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sym w:font="Symbol" w:char="F06F"/>
            </w:r>
          </w:p>
        </w:tc>
        <w:tc>
          <w:tcPr>
            <w:tcW w:w="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н</w:t>
            </w:r>
            <w:proofErr w:type="gramEnd"/>
            <w:r w:rsidRPr="003054E7">
              <w:rPr>
                <w:rFonts w:ascii="Times New Roman" w:eastAsia="Times New Roman" w:hAnsi="Times New Roman" w:cs="Times New Roman"/>
                <w:sz w:val="24"/>
                <w:szCs w:val="24"/>
                <w:lang w:eastAsia="ru-RU"/>
              </w:rPr>
              <w:t>і</w:t>
            </w:r>
          </w:p>
        </w:tc>
        <w:tc>
          <w:tcPr>
            <w:tcW w:w="10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якщо ні, обґрунтувати</w:t>
            </w:r>
          </w:p>
        </w:tc>
      </w:tr>
      <w:tr w:rsidR="003054E7" w:rsidRPr="003054E7" w:rsidTr="001A59F0">
        <w:trPr>
          <w:jc w:val="center"/>
        </w:trPr>
        <w:tc>
          <w:tcPr>
            <w:tcW w:w="5000" w:type="pct"/>
            <w:gridSpan w:val="7"/>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 тип </w:t>
            </w:r>
            <w:proofErr w:type="gramStart"/>
            <w:r w:rsidRPr="003054E7">
              <w:rPr>
                <w:rFonts w:ascii="Times New Roman" w:eastAsia="Times New Roman" w:hAnsi="Times New Roman" w:cs="Times New Roman"/>
                <w:sz w:val="24"/>
                <w:szCs w:val="24"/>
                <w:lang w:eastAsia="ru-RU"/>
              </w:rPr>
              <w:t>л</w:t>
            </w:r>
            <w:proofErr w:type="gramEnd"/>
            <w:r w:rsidRPr="003054E7">
              <w:rPr>
                <w:rFonts w:ascii="Times New Roman" w:eastAsia="Times New Roman" w:hAnsi="Times New Roman" w:cs="Times New Roman"/>
                <w:sz w:val="24"/>
                <w:szCs w:val="24"/>
                <w:lang w:eastAsia="ru-RU"/>
              </w:rPr>
              <w:t>ікарського засобу, за яким проводилася або планується реєстрація</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5. Повна назва клінічного випробування, кодований номер клінічного випробування</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6. Фаза клінічного випробування</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7. Період проведення клінічного випробування</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 ___ ___ ___ по ___ ___ ___</w:t>
            </w: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8. Країни, де проводилося клінічне випробування</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9. Кількість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іджуваних</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запланована:</w:t>
            </w:r>
            <w:r w:rsidRPr="003054E7">
              <w:rPr>
                <w:rFonts w:ascii="Times New Roman" w:eastAsia="Times New Roman" w:hAnsi="Times New Roman" w:cs="Times New Roman"/>
                <w:sz w:val="24"/>
                <w:szCs w:val="24"/>
                <w:lang w:eastAsia="ru-RU"/>
              </w:rPr>
              <w:br/>
              <w:t>фактична:</w:t>
            </w: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10. Мета та вторинні цілі клінічного випробування</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11. Дизайн клінічного випробування</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lastRenderedPageBreak/>
              <w:t>12. Основні критерії включення</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13.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іджуваний лікарський засіб, спосіб застосування, сила дії</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14. Препарат порівняння, доза, спосіб застосування, сила дії</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15. Супутня терапія</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16. Критерії оцінки ефективності</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17. Критерії оцінки безпеки</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18. Статистичні методи</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19. Демографічні показники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іджуваної популяції (стать, вік, раса, тощо)</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20. Результати ефективності</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21. Результати безпеки</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2701" w:type="pct"/>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22. Висновок (заключення)</w:t>
            </w:r>
          </w:p>
        </w:tc>
        <w:tc>
          <w:tcPr>
            <w:tcW w:w="2299" w:type="pct"/>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054E7" w:rsidRPr="003054E7" w:rsidRDefault="003054E7" w:rsidP="003054E7">
            <w:pPr>
              <w:spacing w:after="300" w:line="240" w:lineRule="auto"/>
              <w:jc w:val="center"/>
              <w:rPr>
                <w:rFonts w:ascii="Times New Roman" w:eastAsia="Times New Roman" w:hAnsi="Times New Roman" w:cs="Times New Roman"/>
                <w:sz w:val="24"/>
                <w:szCs w:val="24"/>
                <w:lang w:eastAsia="ru-RU"/>
              </w:rPr>
            </w:pPr>
          </w:p>
        </w:tc>
      </w:tr>
      <w:tr w:rsidR="003054E7" w:rsidRPr="003054E7" w:rsidTr="001A59F0">
        <w:trPr>
          <w:jc w:val="center"/>
        </w:trPr>
        <w:tc>
          <w:tcPr>
            <w:tcW w:w="7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30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Заявник (власник реєстраційного посвідчення)</w:t>
            </w:r>
          </w:p>
        </w:tc>
        <w:tc>
          <w:tcPr>
            <w:tcW w:w="4250" w:type="pct"/>
            <w:gridSpan w:val="6"/>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054E7" w:rsidRPr="003054E7" w:rsidRDefault="003054E7" w:rsidP="003054E7">
            <w:pPr>
              <w:spacing w:after="15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____________________________________(</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ідпис)</w:t>
            </w:r>
          </w:p>
          <w:p w:rsidR="003054E7" w:rsidRPr="003054E7" w:rsidRDefault="003054E7" w:rsidP="003054E7">
            <w:pPr>
              <w:spacing w:after="150" w:line="240" w:lineRule="auto"/>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____________________________________(П. І. Б.)</w:t>
            </w:r>
          </w:p>
        </w:tc>
      </w:tr>
    </w:tbl>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Додаток 31</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до Порядку проведення експертизи реєстраційних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на лікарські засоби,</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що подаються на державну реєстрацію (перереєстрацію),</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а також експертизи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про внесення змін до реєстраційних матеріалів</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протягом дії реєстраційного посвідчення</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(пункт 4 розділу IV)</w:t>
      </w:r>
    </w:p>
    <w:p w:rsidR="003054E7" w:rsidRPr="003054E7" w:rsidRDefault="003054E7" w:rsidP="003054E7">
      <w:pPr>
        <w:shd w:val="clear" w:color="auto" w:fill="FFFFFF"/>
        <w:spacing w:after="150" w:line="240" w:lineRule="auto"/>
        <w:jc w:val="center"/>
        <w:outlineLvl w:val="1"/>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ІНФОРМАЦІЯ</w:t>
      </w:r>
      <w:r w:rsidRPr="003054E7">
        <w:rPr>
          <w:rFonts w:ascii="Times New Roman" w:eastAsia="Times New Roman" w:hAnsi="Times New Roman" w:cs="Times New Roman"/>
          <w:sz w:val="24"/>
          <w:szCs w:val="24"/>
          <w:lang w:eastAsia="ru-RU"/>
        </w:rPr>
        <w:br/>
        <w:t xml:space="preserve">щодо заповнення Звіту про доклінічні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Звіти ДД заповнює заявник (власник реєстраційного посвідчення) українською мовою на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ідставі даних, що наведені в реєстраційному досьє.</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lastRenderedPageBreak/>
        <w:t xml:space="preserve">У пункті 1 Звіту ДД зазначаються назва лікарського засобу (за наявності — номер реєстраційного посвідчення), щодо якого подаються звіти про доклінічні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 xml:space="preserve">ідження. Для зареєстрованих лікарських засобів назва має відповідати </w:t>
      </w:r>
      <w:proofErr w:type="gramStart"/>
      <w:r w:rsidRPr="003054E7">
        <w:rPr>
          <w:rFonts w:ascii="Times New Roman" w:eastAsia="Times New Roman" w:hAnsi="Times New Roman" w:cs="Times New Roman"/>
          <w:sz w:val="24"/>
          <w:szCs w:val="24"/>
          <w:lang w:eastAsia="ru-RU"/>
        </w:rPr>
        <w:t>назв</w:t>
      </w:r>
      <w:proofErr w:type="gramEnd"/>
      <w:r w:rsidRPr="003054E7">
        <w:rPr>
          <w:rFonts w:ascii="Times New Roman" w:eastAsia="Times New Roman" w:hAnsi="Times New Roman" w:cs="Times New Roman"/>
          <w:sz w:val="24"/>
          <w:szCs w:val="24"/>
          <w:lang w:eastAsia="ru-RU"/>
        </w:rPr>
        <w:t>і у реєстраційному посвідченні, а також тип лікарського засобу, за яким проводилася або планується реєстрація. У підпункті 2 пункту 1 зазначається, чи проводились доклінічні дослідження? Якщо «ні», необхідно зазначити, чому не проводилось ДД.</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xml:space="preserve"> пункті 2 зазначаються результати доклінічного вивчення фармакологічних властивостей лікарського засобу, що доводять його ефективність з огляду на запропоноване використання людиною. Фармакологічні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 xml:space="preserve">ідження включають дослідження первинної фармакодинаміки, вторинної фармакодинаміки, фармакології безпеки та дослідження фармакодинамічних взаємодій. У цьому пункті зазначаються умови проведення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w:t>
      </w:r>
      <w:r w:rsidRPr="003054E7">
        <w:rPr>
          <w:rFonts w:ascii="Times New Roman" w:eastAsia="Times New Roman" w:hAnsi="Times New Roman" w:cs="Times New Roman"/>
          <w:i/>
          <w:iCs/>
          <w:sz w:val="24"/>
          <w:szCs w:val="24"/>
          <w:lang w:eastAsia="ru-RU"/>
        </w:rPr>
        <w:t>in vitro, in vivo</w:t>
      </w:r>
      <w:r w:rsidRPr="003054E7">
        <w:rPr>
          <w:rFonts w:ascii="Times New Roman" w:eastAsia="Times New Roman" w:hAnsi="Times New Roman" w:cs="Times New Roman"/>
          <w:sz w:val="24"/>
          <w:szCs w:val="24"/>
          <w:lang w:eastAsia="ru-RU"/>
        </w:rPr>
        <w:t xml:space="preserve">), вид тварин, експериментальна модель захворювання, досліджувані дози, шляхи введення та результати досліджень, що представлені за кількісними показниками (наприклад, кривими доза-ефект та/або час-ефект тощо). Результати експерименту мають бути </w:t>
      </w:r>
      <w:proofErr w:type="gramStart"/>
      <w:r w:rsidRPr="003054E7">
        <w:rPr>
          <w:rFonts w:ascii="Times New Roman" w:eastAsia="Times New Roman" w:hAnsi="Times New Roman" w:cs="Times New Roman"/>
          <w:sz w:val="24"/>
          <w:szCs w:val="24"/>
          <w:lang w:eastAsia="ru-RU"/>
        </w:rPr>
        <w:t>ч</w:t>
      </w:r>
      <w:proofErr w:type="gramEnd"/>
      <w:r w:rsidRPr="003054E7">
        <w:rPr>
          <w:rFonts w:ascii="Times New Roman" w:eastAsia="Times New Roman" w:hAnsi="Times New Roman" w:cs="Times New Roman"/>
          <w:sz w:val="24"/>
          <w:szCs w:val="24"/>
          <w:lang w:eastAsia="ru-RU"/>
        </w:rPr>
        <w:t>ітко викладеними, їх статистична достовірність — доведена.</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ідпунктах 1, 2 зазначаються результати вивчення первинної та вторинної фармакодинаміки лікарського засобу, що характеризують його загальну фармакологічну дію і наявність побічних реакцій.</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ідпункті 3 зазначаються результати дослідження з фармакології безпеки, що визначають вплив досліджуваного лікарського засобу на життєво важливі функції організму лабораторних тварин: серцево-судинну, дихальну та центральну нервову системи. Додатково зазначається потенційна дія </w:t>
      </w:r>
      <w:proofErr w:type="gramStart"/>
      <w:r w:rsidRPr="003054E7">
        <w:rPr>
          <w:rFonts w:ascii="Times New Roman" w:eastAsia="Times New Roman" w:hAnsi="Times New Roman" w:cs="Times New Roman"/>
          <w:sz w:val="24"/>
          <w:szCs w:val="24"/>
          <w:lang w:eastAsia="ru-RU"/>
        </w:rPr>
        <w:t>л</w:t>
      </w:r>
      <w:proofErr w:type="gramEnd"/>
      <w:r w:rsidRPr="003054E7">
        <w:rPr>
          <w:rFonts w:ascii="Times New Roman" w:eastAsia="Times New Roman" w:hAnsi="Times New Roman" w:cs="Times New Roman"/>
          <w:sz w:val="24"/>
          <w:szCs w:val="24"/>
          <w:lang w:eastAsia="ru-RU"/>
        </w:rPr>
        <w:t>ікарського засобу на сечовидільну систему, вегетативну нервову систему, шлунково-кишковий тракт та інші системи (кістково-м’язова, ендокринна, імунна).</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ідпункті 4 зазначаються результати дослідження фармакодинамічних взаємодій, що характеризують вплив одного лікарського засобу на фармакологічну активність іншого на рівні рецепторів або медіаторів, у разі незмінної концентрації лікарського засобу у плазмі.</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3 зазначаються результати фармакокінетичних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 xml:space="preserve">іджень, які включають аналіз усіх процесів, що відбуваються з діючою речовиною і його метаболітами в організмі, та охоплюють вивчення всмоктування, розподілу, біотрансформації (метаболізму) та виведення цих діючих речовин. Також зазначаються вид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 xml:space="preserve">іджуваних тварин, досліджувані дози, шляхи та кратність введення (одноразове чи повторне) лікарського засобу. Результати експерименту мають бути </w:t>
      </w:r>
      <w:proofErr w:type="gramStart"/>
      <w:r w:rsidRPr="003054E7">
        <w:rPr>
          <w:rFonts w:ascii="Times New Roman" w:eastAsia="Times New Roman" w:hAnsi="Times New Roman" w:cs="Times New Roman"/>
          <w:sz w:val="24"/>
          <w:szCs w:val="24"/>
          <w:lang w:eastAsia="ru-RU"/>
        </w:rPr>
        <w:t>ч</w:t>
      </w:r>
      <w:proofErr w:type="gramEnd"/>
      <w:r w:rsidRPr="003054E7">
        <w:rPr>
          <w:rFonts w:ascii="Times New Roman" w:eastAsia="Times New Roman" w:hAnsi="Times New Roman" w:cs="Times New Roman"/>
          <w:sz w:val="24"/>
          <w:szCs w:val="24"/>
          <w:lang w:eastAsia="ru-RU"/>
        </w:rPr>
        <w:t>ітко викладеними, їх статистична достовірність — доведена.</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4 зазначаються результати токсикологічних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іджень щодо потенційної токсичності лікарського засобу, ризику для здоров’я або небажаних токсичних проявів, що можуть виникнути під час його використання людиною з дотриманням рекомендованих умов застосування.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ідпункті 1 зазначаються результати дослідження токсичності у разі одноразового введення, включаючи якісний і кількісний аналізи токсичних проявів, що можуть виникнути внаслідок одноразового введення діючої речовини, яка міститься в лікарському засобі у таких пропорціях і фізико-хімічному стані, як і в готовому лікарському засобі. Крім того, надається інформація про види тварин, що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іджувалися, дози, шляхи введення лікарського засобу тощо.</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ідпункті 2 зазначаються результати дослідження токсичності у разі повторного (багаторазового) введення, що виявляють будь-які фізіологічні та/або патологоанатомічні </w:t>
      </w:r>
      <w:r w:rsidRPr="003054E7">
        <w:rPr>
          <w:rFonts w:ascii="Times New Roman" w:eastAsia="Times New Roman" w:hAnsi="Times New Roman" w:cs="Times New Roman"/>
          <w:sz w:val="24"/>
          <w:szCs w:val="24"/>
          <w:lang w:eastAsia="ru-RU"/>
        </w:rPr>
        <w:lastRenderedPageBreak/>
        <w:t xml:space="preserve">зміни, які виникли внаслідок багаторазового введення діючої речовини або комбінації діючих речовин, та визначають, як ці зміни залежать від дози. У цьому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ідпункті також зазначаються види тварин, що досліджувалися, дози, шляхи введення лікарського засобу, тривалість досліджень тощо.</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Залежно від показань для застосування лікарського засобу може виникнути потреба зазначити результати проведення додаткового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 дослідження на статевонезрілих (ювенільних) тваринах.</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ідпункті 3 зазначаються результати дослідження генотоксичних властивостей, а саме виявлення порушень, які може спричинити діюча речовина в генетичному матеріалі окремого організму (</w:t>
      </w:r>
      <w:r w:rsidRPr="003054E7">
        <w:rPr>
          <w:rFonts w:ascii="Times New Roman" w:eastAsia="Times New Roman" w:hAnsi="Times New Roman" w:cs="Times New Roman"/>
          <w:i/>
          <w:iCs/>
          <w:sz w:val="24"/>
          <w:szCs w:val="24"/>
          <w:lang w:eastAsia="ru-RU"/>
        </w:rPr>
        <w:t>in vivo</w:t>
      </w:r>
      <w:r w:rsidRPr="003054E7">
        <w:rPr>
          <w:rFonts w:ascii="Times New Roman" w:eastAsia="Times New Roman" w:hAnsi="Times New Roman" w:cs="Times New Roman"/>
          <w:sz w:val="24"/>
          <w:szCs w:val="24"/>
          <w:lang w:eastAsia="ru-RU"/>
        </w:rPr>
        <w:t>) або в клітинах (</w:t>
      </w:r>
      <w:r w:rsidRPr="003054E7">
        <w:rPr>
          <w:rFonts w:ascii="Times New Roman" w:eastAsia="Times New Roman" w:hAnsi="Times New Roman" w:cs="Times New Roman"/>
          <w:i/>
          <w:iCs/>
          <w:sz w:val="24"/>
          <w:szCs w:val="24"/>
          <w:lang w:eastAsia="ru-RU"/>
        </w:rPr>
        <w:t>in vitro</w:t>
      </w:r>
      <w:r w:rsidRPr="003054E7">
        <w:rPr>
          <w:rFonts w:ascii="Times New Roman" w:eastAsia="Times New Roman" w:hAnsi="Times New Roman" w:cs="Times New Roman"/>
          <w:sz w:val="24"/>
          <w:szCs w:val="24"/>
          <w:lang w:eastAsia="ru-RU"/>
        </w:rPr>
        <w:t>). Набі</w:t>
      </w:r>
      <w:proofErr w:type="gramStart"/>
      <w:r w:rsidRPr="003054E7">
        <w:rPr>
          <w:rFonts w:ascii="Times New Roman" w:eastAsia="Times New Roman" w:hAnsi="Times New Roman" w:cs="Times New Roman"/>
          <w:sz w:val="24"/>
          <w:szCs w:val="24"/>
          <w:lang w:eastAsia="ru-RU"/>
        </w:rPr>
        <w:t>р</w:t>
      </w:r>
      <w:proofErr w:type="gramEnd"/>
      <w:r w:rsidRPr="003054E7">
        <w:rPr>
          <w:rFonts w:ascii="Times New Roman" w:eastAsia="Times New Roman" w:hAnsi="Times New Roman" w:cs="Times New Roman"/>
          <w:sz w:val="24"/>
          <w:szCs w:val="24"/>
          <w:lang w:eastAsia="ru-RU"/>
        </w:rPr>
        <w:t xml:space="preserve"> тестів для дослідження генотоксичної дії містить тест генних мутацій у бактерій, цитогенетичну оцінку хромосомних порушень у клітинах ссавців </w:t>
      </w:r>
      <w:r w:rsidRPr="003054E7">
        <w:rPr>
          <w:rFonts w:ascii="Times New Roman" w:eastAsia="Times New Roman" w:hAnsi="Times New Roman" w:cs="Times New Roman"/>
          <w:i/>
          <w:iCs/>
          <w:sz w:val="24"/>
          <w:szCs w:val="24"/>
          <w:lang w:eastAsia="ru-RU"/>
        </w:rPr>
        <w:t>in vitro</w:t>
      </w:r>
      <w:r w:rsidRPr="003054E7">
        <w:rPr>
          <w:rFonts w:ascii="Times New Roman" w:eastAsia="Times New Roman" w:hAnsi="Times New Roman" w:cs="Times New Roman"/>
          <w:sz w:val="24"/>
          <w:szCs w:val="24"/>
          <w:lang w:eastAsia="ru-RU"/>
        </w:rPr>
        <w:t> або аналіз генних мутацій у клітинах лімфоми миші</w:t>
      </w:r>
      <w:r w:rsidRPr="003054E7">
        <w:rPr>
          <w:rFonts w:ascii="Times New Roman" w:eastAsia="Times New Roman" w:hAnsi="Times New Roman" w:cs="Times New Roman"/>
          <w:i/>
          <w:iCs/>
          <w:sz w:val="24"/>
          <w:szCs w:val="24"/>
          <w:lang w:eastAsia="ru-RU"/>
        </w:rPr>
        <w:t> in vitro</w:t>
      </w:r>
      <w:r w:rsidRPr="003054E7">
        <w:rPr>
          <w:rFonts w:ascii="Times New Roman" w:eastAsia="Times New Roman" w:hAnsi="Times New Roman" w:cs="Times New Roman"/>
          <w:sz w:val="24"/>
          <w:szCs w:val="24"/>
          <w:lang w:eastAsia="ru-RU"/>
        </w:rPr>
        <w:t>, тест </w:t>
      </w:r>
      <w:r w:rsidRPr="003054E7">
        <w:rPr>
          <w:rFonts w:ascii="Times New Roman" w:eastAsia="Times New Roman" w:hAnsi="Times New Roman" w:cs="Times New Roman"/>
          <w:i/>
          <w:iCs/>
          <w:sz w:val="24"/>
          <w:szCs w:val="24"/>
          <w:lang w:eastAsia="ru-RU"/>
        </w:rPr>
        <w:t>in vivo</w:t>
      </w:r>
      <w:r w:rsidRPr="003054E7">
        <w:rPr>
          <w:rFonts w:ascii="Times New Roman" w:eastAsia="Times New Roman" w:hAnsi="Times New Roman" w:cs="Times New Roman"/>
          <w:sz w:val="24"/>
          <w:szCs w:val="24"/>
          <w:lang w:eastAsia="ru-RU"/>
        </w:rPr>
        <w:t> хромосомних порушень в клітинах гематопоезу гризунів.</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ідпункті 4 зазначаються результати дослідження канцерогенного впливу лікарського засобу, а також вид тварин, що досліджувалися, дози, шляхи введення та тривалість таких досліджень (довгострокові, короткострокові).</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ідпункті 5 зазначаються результати дослідження впливу лікарського засобу на репродуктивну функцію статевозрілих самців і самиць, дослідження його токсичного та тератогенного впливу на потомство на всіх стадіях розвитку від зачаття до статевої зрілості, а також латентних ефектів, коли досліджуваний лікарський засіб застосовувався для лікування вагітних самиць. Також зазначаються види тварин, що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іджувалися, дози, шляхи введення лікарського засобу, тривалість досліджень тощо.</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ідпункті 6 зазначаються результати дослідження місцевої переносимості, що характеризують місцеву дію лікарського засобу (діючих і допоміжних речовин) на тканини організму в тих ділянках, що можуть контактувати з лікарським засобом унаслідок його введення у разі клінічного застосування.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місцевої переносимості проводиться з використанням лікарського засобу, розробленого для застосування людиною.</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разі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хімічних речовин, що застосовуються місцево (наприклад, дермальні/нашкірні, ректальні, вагінальні), у цьому підпункті зазначаються результати дослідження їх сенсибілізуючої дії.</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 xml:space="preserve">ідпункті 7 зазначаються результати дослідження антигенних властивостей лікарського засобу (утворення антитіл), його імунотоксичності, механізму дії, лікарської залежності, токсичності метаболітів і домішок. Також надається інформація про види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іджуваних тварин, дози, шляхи введення лікарського засобу, тривалість досліджень тощо.</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5 надається узагальнюючий висновок щодо доклінічного вивчення лікарського засобу, що включає результати всіх доклінічних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іджень, які проводилися на етапі розробки цього препарату.</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Додаток 32</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до Порядку проведення експертизи реєстраційних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на лікарські засоби,</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що подаються на державну реєстрацію (перереєстрацію),</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а також експертизи </w:t>
      </w:r>
      <w:proofErr w:type="gramStart"/>
      <w:r w:rsidRPr="003054E7">
        <w:rPr>
          <w:rFonts w:ascii="Times New Roman" w:eastAsia="Times New Roman" w:hAnsi="Times New Roman" w:cs="Times New Roman"/>
          <w:sz w:val="24"/>
          <w:szCs w:val="24"/>
          <w:lang w:eastAsia="ru-RU"/>
        </w:rPr>
        <w:t>матер</w:t>
      </w:r>
      <w:proofErr w:type="gramEnd"/>
      <w:r w:rsidRPr="003054E7">
        <w:rPr>
          <w:rFonts w:ascii="Times New Roman" w:eastAsia="Times New Roman" w:hAnsi="Times New Roman" w:cs="Times New Roman"/>
          <w:sz w:val="24"/>
          <w:szCs w:val="24"/>
          <w:lang w:eastAsia="ru-RU"/>
        </w:rPr>
        <w:t>іалів про внесення змін до реєстраційних матеріалів</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протягом дії реєстраційного посвідчення</w:t>
      </w:r>
    </w:p>
    <w:p w:rsidR="003054E7" w:rsidRPr="003054E7" w:rsidRDefault="003054E7" w:rsidP="003054E7">
      <w:pPr>
        <w:shd w:val="clear" w:color="auto" w:fill="FFFFFF"/>
        <w:spacing w:after="150" w:line="240" w:lineRule="auto"/>
        <w:jc w:val="right"/>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(пункт 4 розділу IV)</w:t>
      </w:r>
    </w:p>
    <w:p w:rsidR="003054E7" w:rsidRPr="003054E7" w:rsidRDefault="003054E7" w:rsidP="003054E7">
      <w:pPr>
        <w:shd w:val="clear" w:color="auto" w:fill="FFFFFF"/>
        <w:spacing w:after="150" w:line="240" w:lineRule="auto"/>
        <w:jc w:val="center"/>
        <w:outlineLvl w:val="1"/>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lastRenderedPageBreak/>
        <w:t>ІНФОРМАЦІЯ</w:t>
      </w:r>
      <w:r w:rsidRPr="003054E7">
        <w:rPr>
          <w:rFonts w:ascii="Times New Roman" w:eastAsia="Times New Roman" w:hAnsi="Times New Roman" w:cs="Times New Roman"/>
          <w:sz w:val="24"/>
          <w:szCs w:val="24"/>
          <w:lang w:eastAsia="ru-RU"/>
        </w:rPr>
        <w:br/>
        <w:t>щодо заповнення Звіту про клінічне випробування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Звіт КВ заповнює заявник (власник реєстраційного посвідчення) українською мовою на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ідставі даних, що наведені в реєстраційному досьє.</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Якщо необхідно навести результати декількох клінічних випробувань лікарського засобу, потрібно заповнити на кожне клінічне випробування окремий Звіт КВ та надати кожному Звіту КВ порядковий номер.</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Дати в Звіті КВ заповнюються в такому порядку: число, місяць, </w:t>
      </w:r>
      <w:proofErr w:type="gramStart"/>
      <w:r w:rsidRPr="003054E7">
        <w:rPr>
          <w:rFonts w:ascii="Times New Roman" w:eastAsia="Times New Roman" w:hAnsi="Times New Roman" w:cs="Times New Roman"/>
          <w:sz w:val="24"/>
          <w:szCs w:val="24"/>
          <w:lang w:eastAsia="ru-RU"/>
        </w:rPr>
        <w:t>р</w:t>
      </w:r>
      <w:proofErr w:type="gramEnd"/>
      <w:r w:rsidRPr="003054E7">
        <w:rPr>
          <w:rFonts w:ascii="Times New Roman" w:eastAsia="Times New Roman" w:hAnsi="Times New Roman" w:cs="Times New Roman"/>
          <w:sz w:val="24"/>
          <w:szCs w:val="24"/>
          <w:lang w:eastAsia="ru-RU"/>
        </w:rPr>
        <w:t>ік.</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1 зазначається </w:t>
      </w:r>
      <w:proofErr w:type="gramStart"/>
      <w:r w:rsidRPr="003054E7">
        <w:rPr>
          <w:rFonts w:ascii="Times New Roman" w:eastAsia="Times New Roman" w:hAnsi="Times New Roman" w:cs="Times New Roman"/>
          <w:sz w:val="24"/>
          <w:szCs w:val="24"/>
          <w:lang w:eastAsia="ru-RU"/>
        </w:rPr>
        <w:t>назва л</w:t>
      </w:r>
      <w:proofErr w:type="gramEnd"/>
      <w:r w:rsidRPr="003054E7">
        <w:rPr>
          <w:rFonts w:ascii="Times New Roman" w:eastAsia="Times New Roman" w:hAnsi="Times New Roman" w:cs="Times New Roman"/>
          <w:sz w:val="24"/>
          <w:szCs w:val="24"/>
          <w:lang w:eastAsia="ru-RU"/>
        </w:rPr>
        <w:t xml:space="preserve">ікарського засобу, щодо якого подається звіт про клінічне випробування (за наявності — номер реєстраційного посвідчення). Назва лікарського засобу має відповідати </w:t>
      </w:r>
      <w:proofErr w:type="gramStart"/>
      <w:r w:rsidRPr="003054E7">
        <w:rPr>
          <w:rFonts w:ascii="Times New Roman" w:eastAsia="Times New Roman" w:hAnsi="Times New Roman" w:cs="Times New Roman"/>
          <w:sz w:val="24"/>
          <w:szCs w:val="24"/>
          <w:lang w:eastAsia="ru-RU"/>
        </w:rPr>
        <w:t>назв</w:t>
      </w:r>
      <w:proofErr w:type="gramEnd"/>
      <w:r w:rsidRPr="003054E7">
        <w:rPr>
          <w:rFonts w:ascii="Times New Roman" w:eastAsia="Times New Roman" w:hAnsi="Times New Roman" w:cs="Times New Roman"/>
          <w:sz w:val="24"/>
          <w:szCs w:val="24"/>
          <w:lang w:eastAsia="ru-RU"/>
        </w:rPr>
        <w:t>і у реєстраційному посвідченні.</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w:t>
      </w:r>
      <w:proofErr w:type="gramStart"/>
      <w:r w:rsidRPr="003054E7">
        <w:rPr>
          <w:rFonts w:ascii="Times New Roman" w:eastAsia="Times New Roman" w:hAnsi="Times New Roman" w:cs="Times New Roman"/>
          <w:sz w:val="24"/>
          <w:szCs w:val="24"/>
          <w:lang w:eastAsia="ru-RU"/>
        </w:rPr>
        <w:t>пункт</w:t>
      </w:r>
      <w:proofErr w:type="gramEnd"/>
      <w:r w:rsidRPr="003054E7">
        <w:rPr>
          <w:rFonts w:ascii="Times New Roman" w:eastAsia="Times New Roman" w:hAnsi="Times New Roman" w:cs="Times New Roman"/>
          <w:sz w:val="24"/>
          <w:szCs w:val="24"/>
          <w:lang w:eastAsia="ru-RU"/>
        </w:rPr>
        <w:t>і 2 зазначається заявник / власник реєстраційного посвідчення.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пункті 3 зазначається виробник лікарського засобу.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4 зазначається, чи проводилися клінічні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Якщо не проводилися, слід зазначити, чому не проводилося КВ. У </w:t>
      </w:r>
      <w:proofErr w:type="gramStart"/>
      <w:r w:rsidRPr="003054E7">
        <w:rPr>
          <w:rFonts w:ascii="Times New Roman" w:eastAsia="Times New Roman" w:hAnsi="Times New Roman" w:cs="Times New Roman"/>
          <w:sz w:val="24"/>
          <w:szCs w:val="24"/>
          <w:lang w:eastAsia="ru-RU"/>
        </w:rPr>
        <w:t>п</w:t>
      </w:r>
      <w:proofErr w:type="gramEnd"/>
      <w:r w:rsidRPr="003054E7">
        <w:rPr>
          <w:rFonts w:ascii="Times New Roman" w:eastAsia="Times New Roman" w:hAnsi="Times New Roman" w:cs="Times New Roman"/>
          <w:sz w:val="24"/>
          <w:szCs w:val="24"/>
          <w:lang w:eastAsia="ru-RU"/>
        </w:rPr>
        <w:t>ідпункті 1 зазначається тип лікарського засобу, за яким проводилася або планується реєстрація.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пункті 5 зазначаються повна назва клінічного випробування та кодований номер протоколу клінічного випробування, привласнений спонсором, остання версія і дата.</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6 зазначається фаза клінічного випробування — I, II, III, IV (для генеричних лікарських засобів —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біоеквівалентності або порівняльне клінічне випробування).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w:t>
      </w:r>
      <w:proofErr w:type="gramStart"/>
      <w:r w:rsidRPr="003054E7">
        <w:rPr>
          <w:rFonts w:ascii="Times New Roman" w:eastAsia="Times New Roman" w:hAnsi="Times New Roman" w:cs="Times New Roman"/>
          <w:sz w:val="24"/>
          <w:szCs w:val="24"/>
          <w:lang w:eastAsia="ru-RU"/>
        </w:rPr>
        <w:t>пункт</w:t>
      </w:r>
      <w:proofErr w:type="gramEnd"/>
      <w:r w:rsidRPr="003054E7">
        <w:rPr>
          <w:rFonts w:ascii="Times New Roman" w:eastAsia="Times New Roman" w:hAnsi="Times New Roman" w:cs="Times New Roman"/>
          <w:sz w:val="24"/>
          <w:szCs w:val="24"/>
          <w:lang w:eastAsia="ru-RU"/>
        </w:rPr>
        <w:t>і 7 зазначається період часу, впродовж якого проводилося клінічне випробування.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пункті 8 зазначаються усі країни, де проводилося це клінічне випробування.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9 зазначаються загальна кількість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іджуваних, яких спонсор клінічного випробування планував залучити до клінічного випробування, відповідно до протоколу дослідження та загальна фактична кількість досліджуваних.</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10 наводяться основна мета та вторинні цілі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11 зазначається дизайн клінічного випробування (наприклад, рандомізоване плацебо — контрольоване подвійне сліпе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 xml:space="preserve">ідження). Також приклади дизайну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ідження включають паралельний, перехресний, факторіальний тощо.</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У пункті 12 необхідно зазначити контингент пацієнтів та використані критерії їх включення — характеристики, якими повинні володіти потенційні учасники для участі в клінічних випробуваннях (віковий діапазон, стать, основне та супутні захворювання тощо).</w:t>
      </w:r>
      <w:proofErr w:type="gramEnd"/>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13 зазначаються назва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іджуваного лікарського засобу, спосіб застосування та сила дії. Якщо на момент проведення клінічного випробування була відсутня торговельна назва, необхідно зазначити код, привласнений спонсором, який використовувався для ідентифікації досліджуваного лікарського засобу в документації клінічного дослідження. Також необхідно зазначити міжнародну непатентовану назву або запропоновану міжнародну непатентовану назву, якщо вона була на момент проведення клінічного випробування.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lastRenderedPageBreak/>
        <w:t>У</w:t>
      </w:r>
      <w:proofErr w:type="gramEnd"/>
      <w:r w:rsidRPr="003054E7">
        <w:rPr>
          <w:rFonts w:ascii="Times New Roman" w:eastAsia="Times New Roman" w:hAnsi="Times New Roman" w:cs="Times New Roman"/>
          <w:sz w:val="24"/>
          <w:szCs w:val="24"/>
          <w:lang w:eastAsia="ru-RU"/>
        </w:rPr>
        <w:t> </w:t>
      </w:r>
      <w:proofErr w:type="gramStart"/>
      <w:r w:rsidRPr="003054E7">
        <w:rPr>
          <w:rFonts w:ascii="Times New Roman" w:eastAsia="Times New Roman" w:hAnsi="Times New Roman" w:cs="Times New Roman"/>
          <w:sz w:val="24"/>
          <w:szCs w:val="24"/>
          <w:lang w:eastAsia="ru-RU"/>
        </w:rPr>
        <w:t>пункт</w:t>
      </w:r>
      <w:proofErr w:type="gramEnd"/>
      <w:r w:rsidRPr="003054E7">
        <w:rPr>
          <w:rFonts w:ascii="Times New Roman" w:eastAsia="Times New Roman" w:hAnsi="Times New Roman" w:cs="Times New Roman"/>
          <w:sz w:val="24"/>
          <w:szCs w:val="24"/>
          <w:lang w:eastAsia="ru-RU"/>
        </w:rPr>
        <w:t>і 14 зазначаються назва препарату порівняння, спосіб застосування та сила дії. Також необхідно зазначити міжнародну непатентовану назву препарату порівняння. Якщо використовувалося плацебо, необхідно це зазначити.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У пункті 15 зазначаються лікарські засоби (фармакотерапевтична група), які було дозволено приймати (</w:t>
      </w:r>
      <w:proofErr w:type="gramStart"/>
      <w:r w:rsidRPr="003054E7">
        <w:rPr>
          <w:rFonts w:ascii="Times New Roman" w:eastAsia="Times New Roman" w:hAnsi="Times New Roman" w:cs="Times New Roman"/>
          <w:sz w:val="24"/>
          <w:szCs w:val="24"/>
          <w:lang w:eastAsia="ru-RU"/>
        </w:rPr>
        <w:t>кр</w:t>
      </w:r>
      <w:proofErr w:type="gramEnd"/>
      <w:r w:rsidRPr="003054E7">
        <w:rPr>
          <w:rFonts w:ascii="Times New Roman" w:eastAsia="Times New Roman" w:hAnsi="Times New Roman" w:cs="Times New Roman"/>
          <w:sz w:val="24"/>
          <w:szCs w:val="24"/>
          <w:lang w:eastAsia="ru-RU"/>
        </w:rPr>
        <w:t>ім досліджуваного лікарського засобу) під час участі в клінічному випробуванні.</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16 зазначається, за якими критеріями оцінювалася ефективність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іджуваного лікарського засобу.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17 зазначається, за якими критеріями оцінювалася безпека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іджуваного лікарського засобу.</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пункті 18 наводяться статистичні методи, що були застосовані для оцінки результатів клінічного випробування.</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19 зазначаються основні демографічні показники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іджуваної популяції, зокрема стать, вік, раса, тощо.</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3054E7">
        <w:rPr>
          <w:rFonts w:ascii="Times New Roman" w:eastAsia="Times New Roman" w:hAnsi="Times New Roman" w:cs="Times New Roman"/>
          <w:sz w:val="24"/>
          <w:szCs w:val="24"/>
          <w:lang w:eastAsia="ru-RU"/>
        </w:rPr>
        <w:t>У</w:t>
      </w:r>
      <w:proofErr w:type="gramEnd"/>
      <w:r w:rsidRPr="003054E7">
        <w:rPr>
          <w:rFonts w:ascii="Times New Roman" w:eastAsia="Times New Roman" w:hAnsi="Times New Roman" w:cs="Times New Roman"/>
          <w:sz w:val="24"/>
          <w:szCs w:val="24"/>
          <w:lang w:eastAsia="ru-RU"/>
        </w:rPr>
        <w:t xml:space="preserve"> пункті 20 заявник наводить результати аналізу ефективності, при цьому необхідно відобразити відмінність величини ефекту препаратів разом з відповідними довірчими інтервалами, а також результати перевірки гіпотези, якщо вона проводилася. Необхідно стисло викласти основні висновки щодо ефективності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іджуваного лікарського засобу, розглядаючи первинні та вторинні кінцеві точки.</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21 заявнику необхідно надати загальну оцінку безпеки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іджуваного лікарського засобу, приділивши особливу увагу серйозним побічним реакціям, що призвели до смерті або відміни лікування досліджуваним препаратом.</w:t>
      </w:r>
    </w:p>
    <w:p w:rsidR="003054E7" w:rsidRPr="003054E7" w:rsidRDefault="003054E7" w:rsidP="003054E7">
      <w:pPr>
        <w:shd w:val="clear" w:color="auto" w:fill="FFFFFF"/>
        <w:spacing w:after="150" w:line="240" w:lineRule="auto"/>
        <w:jc w:val="both"/>
        <w:rPr>
          <w:rFonts w:ascii="Times New Roman" w:eastAsia="Times New Roman" w:hAnsi="Times New Roman" w:cs="Times New Roman"/>
          <w:sz w:val="24"/>
          <w:szCs w:val="24"/>
          <w:lang w:eastAsia="ru-RU"/>
        </w:rPr>
      </w:pPr>
      <w:r w:rsidRPr="003054E7">
        <w:rPr>
          <w:rFonts w:ascii="Times New Roman" w:eastAsia="Times New Roman" w:hAnsi="Times New Roman" w:cs="Times New Roman"/>
          <w:sz w:val="24"/>
          <w:szCs w:val="24"/>
          <w:lang w:eastAsia="ru-RU"/>
        </w:rPr>
        <w:t xml:space="preserve">У пункті 22 зазначаються загальні результати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 xml:space="preserve">ідження, також необхідно стисло описати співвідношення «користь-ризик». Висновок не має </w:t>
      </w:r>
      <w:proofErr w:type="gramStart"/>
      <w:r w:rsidRPr="003054E7">
        <w:rPr>
          <w:rFonts w:ascii="Times New Roman" w:eastAsia="Times New Roman" w:hAnsi="Times New Roman" w:cs="Times New Roman"/>
          <w:sz w:val="24"/>
          <w:szCs w:val="24"/>
          <w:lang w:eastAsia="ru-RU"/>
        </w:rPr>
        <w:t>бути</w:t>
      </w:r>
      <w:proofErr w:type="gramEnd"/>
      <w:r w:rsidRPr="003054E7">
        <w:rPr>
          <w:rFonts w:ascii="Times New Roman" w:eastAsia="Times New Roman" w:hAnsi="Times New Roman" w:cs="Times New Roman"/>
          <w:sz w:val="24"/>
          <w:szCs w:val="24"/>
          <w:lang w:eastAsia="ru-RU"/>
        </w:rPr>
        <w:t xml:space="preserve"> простим повторюванням опису результатів, у ньому не можна зазначати нових даних. В заключенні необхідно точно зазначити всі </w:t>
      </w:r>
      <w:proofErr w:type="gramStart"/>
      <w:r w:rsidRPr="003054E7">
        <w:rPr>
          <w:rFonts w:ascii="Times New Roman" w:eastAsia="Times New Roman" w:hAnsi="Times New Roman" w:cs="Times New Roman"/>
          <w:sz w:val="24"/>
          <w:szCs w:val="24"/>
          <w:lang w:eastAsia="ru-RU"/>
        </w:rPr>
        <w:t>нов</w:t>
      </w:r>
      <w:proofErr w:type="gramEnd"/>
      <w:r w:rsidRPr="003054E7">
        <w:rPr>
          <w:rFonts w:ascii="Times New Roman" w:eastAsia="Times New Roman" w:hAnsi="Times New Roman" w:cs="Times New Roman"/>
          <w:sz w:val="24"/>
          <w:szCs w:val="24"/>
          <w:lang w:eastAsia="ru-RU"/>
        </w:rPr>
        <w:t xml:space="preserve">і або непередбачені явища, прокоментувати їх вагомість та обговорити всі потенційні проблеми. Слід обговорити клінічну узгодженість та значення результатів </w:t>
      </w:r>
      <w:proofErr w:type="gramStart"/>
      <w:r w:rsidRPr="003054E7">
        <w:rPr>
          <w:rFonts w:ascii="Times New Roman" w:eastAsia="Times New Roman" w:hAnsi="Times New Roman" w:cs="Times New Roman"/>
          <w:sz w:val="24"/>
          <w:szCs w:val="24"/>
          <w:lang w:eastAsia="ru-RU"/>
        </w:rPr>
        <w:t>в</w:t>
      </w:r>
      <w:proofErr w:type="gramEnd"/>
      <w:r w:rsidRPr="003054E7">
        <w:rPr>
          <w:rFonts w:ascii="Times New Roman" w:eastAsia="Times New Roman" w:hAnsi="Times New Roman" w:cs="Times New Roman"/>
          <w:sz w:val="24"/>
          <w:szCs w:val="24"/>
          <w:lang w:eastAsia="ru-RU"/>
        </w:rPr>
        <w:t xml:space="preserve"> світлі інших наявних даних. Необхідно зазначити кожну особливу перевагу або особливі застереження, які слід враховувати щодо окремих пацієнтів або груп ризику, а також всі висновки, що мають значення для проведення </w:t>
      </w:r>
      <w:proofErr w:type="gramStart"/>
      <w:r w:rsidRPr="003054E7">
        <w:rPr>
          <w:rFonts w:ascii="Times New Roman" w:eastAsia="Times New Roman" w:hAnsi="Times New Roman" w:cs="Times New Roman"/>
          <w:sz w:val="24"/>
          <w:szCs w:val="24"/>
          <w:lang w:eastAsia="ru-RU"/>
        </w:rPr>
        <w:t>досл</w:t>
      </w:r>
      <w:proofErr w:type="gramEnd"/>
      <w:r w:rsidRPr="003054E7">
        <w:rPr>
          <w:rFonts w:ascii="Times New Roman" w:eastAsia="Times New Roman" w:hAnsi="Times New Roman" w:cs="Times New Roman"/>
          <w:sz w:val="24"/>
          <w:szCs w:val="24"/>
          <w:lang w:eastAsia="ru-RU"/>
        </w:rPr>
        <w:t>іджень в майбутньому.</w:t>
      </w:r>
    </w:p>
    <w:p w:rsidR="00B70093" w:rsidRPr="003054E7" w:rsidRDefault="00B70093">
      <w:pPr>
        <w:rPr>
          <w:rFonts w:ascii="Times New Roman" w:hAnsi="Times New Roman" w:cs="Times New Roman"/>
          <w:sz w:val="24"/>
          <w:szCs w:val="24"/>
        </w:rPr>
      </w:pPr>
    </w:p>
    <w:sectPr w:rsidR="00B70093" w:rsidRPr="00305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E7"/>
    <w:rsid w:val="001A59F0"/>
    <w:rsid w:val="003054E7"/>
    <w:rsid w:val="00B7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54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4E7"/>
    <w:rPr>
      <w:rFonts w:ascii="Times New Roman" w:eastAsia="Times New Roman" w:hAnsi="Times New Roman" w:cs="Times New Roman"/>
      <w:b/>
      <w:bCs/>
      <w:sz w:val="36"/>
      <w:szCs w:val="36"/>
      <w:lang w:eastAsia="ru-RU"/>
    </w:rPr>
  </w:style>
  <w:style w:type="character" w:styleId="a3">
    <w:name w:val="Strong"/>
    <w:basedOn w:val="a0"/>
    <w:uiPriority w:val="22"/>
    <w:qFormat/>
    <w:rsid w:val="003054E7"/>
    <w:rPr>
      <w:b/>
      <w:bCs/>
    </w:rPr>
  </w:style>
  <w:style w:type="paragraph" w:styleId="a4">
    <w:name w:val="Normal (Web)"/>
    <w:basedOn w:val="a"/>
    <w:uiPriority w:val="99"/>
    <w:unhideWhenUsed/>
    <w:rsid w:val="00305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3054E7"/>
  </w:style>
  <w:style w:type="character" w:styleId="a5">
    <w:name w:val="Hyperlink"/>
    <w:basedOn w:val="a0"/>
    <w:uiPriority w:val="99"/>
    <w:semiHidden/>
    <w:unhideWhenUsed/>
    <w:rsid w:val="003054E7"/>
    <w:rPr>
      <w:color w:val="0000FF"/>
      <w:u w:val="single"/>
    </w:rPr>
  </w:style>
  <w:style w:type="character" w:styleId="a6">
    <w:name w:val="Emphasis"/>
    <w:basedOn w:val="a0"/>
    <w:uiPriority w:val="20"/>
    <w:qFormat/>
    <w:rsid w:val="003054E7"/>
    <w:rPr>
      <w:i/>
      <w:iCs/>
    </w:rPr>
  </w:style>
  <w:style w:type="character" w:customStyle="1" w:styleId="pull-right">
    <w:name w:val="pull-right"/>
    <w:basedOn w:val="a0"/>
    <w:rsid w:val="00305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54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4E7"/>
    <w:rPr>
      <w:rFonts w:ascii="Times New Roman" w:eastAsia="Times New Roman" w:hAnsi="Times New Roman" w:cs="Times New Roman"/>
      <w:b/>
      <w:bCs/>
      <w:sz w:val="36"/>
      <w:szCs w:val="36"/>
      <w:lang w:eastAsia="ru-RU"/>
    </w:rPr>
  </w:style>
  <w:style w:type="character" w:styleId="a3">
    <w:name w:val="Strong"/>
    <w:basedOn w:val="a0"/>
    <w:uiPriority w:val="22"/>
    <w:qFormat/>
    <w:rsid w:val="003054E7"/>
    <w:rPr>
      <w:b/>
      <w:bCs/>
    </w:rPr>
  </w:style>
  <w:style w:type="paragraph" w:styleId="a4">
    <w:name w:val="Normal (Web)"/>
    <w:basedOn w:val="a"/>
    <w:uiPriority w:val="99"/>
    <w:unhideWhenUsed/>
    <w:rsid w:val="00305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3054E7"/>
  </w:style>
  <w:style w:type="character" w:styleId="a5">
    <w:name w:val="Hyperlink"/>
    <w:basedOn w:val="a0"/>
    <w:uiPriority w:val="99"/>
    <w:semiHidden/>
    <w:unhideWhenUsed/>
    <w:rsid w:val="003054E7"/>
    <w:rPr>
      <w:color w:val="0000FF"/>
      <w:u w:val="single"/>
    </w:rPr>
  </w:style>
  <w:style w:type="character" w:styleId="a6">
    <w:name w:val="Emphasis"/>
    <w:basedOn w:val="a0"/>
    <w:uiPriority w:val="20"/>
    <w:qFormat/>
    <w:rsid w:val="003054E7"/>
    <w:rPr>
      <w:i/>
      <w:iCs/>
    </w:rPr>
  </w:style>
  <w:style w:type="character" w:customStyle="1" w:styleId="pull-right">
    <w:name w:val="pull-right"/>
    <w:basedOn w:val="a0"/>
    <w:rsid w:val="0030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24195">
      <w:bodyDiv w:val="1"/>
      <w:marLeft w:val="0"/>
      <w:marRight w:val="0"/>
      <w:marTop w:val="0"/>
      <w:marBottom w:val="0"/>
      <w:divBdr>
        <w:top w:val="none" w:sz="0" w:space="0" w:color="auto"/>
        <w:left w:val="none" w:sz="0" w:space="0" w:color="auto"/>
        <w:bottom w:val="none" w:sz="0" w:space="0" w:color="auto"/>
        <w:right w:val="none" w:sz="0" w:space="0" w:color="auto"/>
      </w:divBdr>
      <w:divsChild>
        <w:div w:id="320475461">
          <w:marLeft w:val="0"/>
          <w:marRight w:val="0"/>
          <w:marTop w:val="150"/>
          <w:marBottom w:val="150"/>
          <w:divBdr>
            <w:top w:val="none" w:sz="0" w:space="0" w:color="auto"/>
            <w:left w:val="none" w:sz="0" w:space="0" w:color="auto"/>
            <w:bottom w:val="none" w:sz="0" w:space="0" w:color="auto"/>
            <w:right w:val="none" w:sz="0" w:space="0" w:color="auto"/>
          </w:divBdr>
        </w:div>
        <w:div w:id="13122058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5795</Words>
  <Characters>33032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2019-08-07T06:41:00Z</dcterms:created>
  <dcterms:modified xsi:type="dcterms:W3CDTF">2019-08-07T06:47:00Z</dcterms:modified>
</cp:coreProperties>
</file>