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5606"/>
        <w:gridCol w:w="3738"/>
        <w:gridCol w:w="5"/>
      </w:tblGrid>
      <w:tr w:rsidR="00FC2A10" w:rsidRPr="00FC2A10" w:rsidTr="00FC2A10">
        <w:tc>
          <w:tcPr>
            <w:tcW w:w="12135" w:type="dxa"/>
            <w:gridSpan w:val="3"/>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0" w:line="240" w:lineRule="auto"/>
              <w:jc w:val="center"/>
              <w:rPr>
                <w:rFonts w:ascii="Times New Roman" w:eastAsia="Times New Roman" w:hAnsi="Times New Roman" w:cs="Times New Roman"/>
                <w:sz w:val="24"/>
                <w:szCs w:val="24"/>
                <w:lang w:eastAsia="ru-RU"/>
              </w:rPr>
            </w:pPr>
            <w:bookmarkStart w:id="0" w:name="_GoBack"/>
            <w:bookmarkEnd w:id="0"/>
            <w:r w:rsidRPr="00FC2A10">
              <w:rPr>
                <w:rFonts w:ascii="Times New Roman" w:eastAsia="Times New Roman" w:hAnsi="Times New Roman" w:cs="Times New Roman"/>
                <w:b/>
                <w:bCs/>
                <w:color w:val="000000"/>
                <w:sz w:val="28"/>
                <w:szCs w:val="28"/>
                <w:lang w:eastAsia="ru-RU"/>
              </w:rPr>
              <w:t>МІНІСТЕРСТВО ОХОРОНИ ЗДОРОВ’Я УКРАЇНИ</w:t>
            </w:r>
          </w:p>
        </w:tc>
      </w:tr>
      <w:tr w:rsidR="00FC2A10" w:rsidRPr="00FC2A10" w:rsidTr="00FC2A10">
        <w:tc>
          <w:tcPr>
            <w:tcW w:w="12135" w:type="dxa"/>
            <w:gridSpan w:val="3"/>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30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b/>
                <w:bCs/>
                <w:color w:val="000000"/>
                <w:sz w:val="32"/>
                <w:szCs w:val="32"/>
                <w:lang w:eastAsia="ru-RU"/>
              </w:rPr>
              <w:t>НАКАЗ</w:t>
            </w:r>
          </w:p>
        </w:tc>
      </w:tr>
      <w:tr w:rsidR="00FC2A10" w:rsidRPr="00FC2A10" w:rsidTr="00FC2A10">
        <w:tc>
          <w:tcPr>
            <w:tcW w:w="12135" w:type="dxa"/>
            <w:gridSpan w:val="3"/>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ind w:left="450" w:right="450"/>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b/>
                <w:bCs/>
                <w:color w:val="000000"/>
                <w:sz w:val="24"/>
                <w:szCs w:val="24"/>
                <w:lang w:eastAsia="ru-RU"/>
              </w:rPr>
              <w:t>11.05.2019  № 1061</w:t>
            </w:r>
          </w:p>
        </w:tc>
      </w:tr>
      <w:tr w:rsidR="00FC2A10" w:rsidRPr="00FC2A10" w:rsidTr="00FC2A10">
        <w:trPr>
          <w:gridAfter w:val="1"/>
        </w:trPr>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 w:name="n3"/>
            <w:bookmarkEnd w:id="1"/>
            <w:r w:rsidRPr="00FC2A10">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b/>
                <w:bCs/>
                <w:color w:val="000000"/>
                <w:sz w:val="24"/>
                <w:szCs w:val="24"/>
                <w:lang w:eastAsia="ru-RU"/>
              </w:rPr>
              <w:t>Зареєстровано в Міністерстві</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юстиції України</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27 травня 2019 р.</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за № 552/33523</w:t>
            </w:r>
          </w:p>
        </w:tc>
      </w:tr>
    </w:tbl>
    <w:p w:rsidR="00FC2A10" w:rsidRPr="00FC2A10" w:rsidRDefault="00FC2A10" w:rsidP="00FC2A10">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2" w:name="n4"/>
      <w:bookmarkEnd w:id="2"/>
      <w:r w:rsidRPr="00FC2A10">
        <w:rPr>
          <w:rFonts w:ascii="Times New Roman" w:eastAsia="Times New Roman" w:hAnsi="Times New Roman" w:cs="Times New Roman"/>
          <w:b/>
          <w:bCs/>
          <w:color w:val="000000"/>
          <w:sz w:val="32"/>
          <w:szCs w:val="32"/>
          <w:lang w:eastAsia="ru-RU"/>
        </w:rPr>
        <w:t xml:space="preserve">Про внесення змін до Методики планування та розрахунку кількості лікарських засобів, медичних виробів, що закуповуються за рахунок та </w:t>
      </w:r>
      <w:proofErr w:type="gramStart"/>
      <w:r w:rsidRPr="00FC2A10">
        <w:rPr>
          <w:rFonts w:ascii="Times New Roman" w:eastAsia="Times New Roman" w:hAnsi="Times New Roman" w:cs="Times New Roman"/>
          <w:b/>
          <w:bCs/>
          <w:color w:val="000000"/>
          <w:sz w:val="32"/>
          <w:szCs w:val="32"/>
          <w:lang w:eastAsia="ru-RU"/>
        </w:rPr>
        <w:t>у межах</w:t>
      </w:r>
      <w:proofErr w:type="gramEnd"/>
      <w:r w:rsidRPr="00FC2A10">
        <w:rPr>
          <w:rFonts w:ascii="Times New Roman" w:eastAsia="Times New Roman" w:hAnsi="Times New Roman" w:cs="Times New Roman"/>
          <w:b/>
          <w:bCs/>
          <w:color w:val="000000"/>
          <w:sz w:val="32"/>
          <w:szCs w:val="32"/>
          <w:lang w:eastAsia="ru-RU"/>
        </w:rPr>
        <w:t xml:space="preserve"> відповідного обсягу видатків, затвердженого в державному та місцевих бюджетах на відповідний рік, для забезпечення хворих, що перенесли або готуються до трансплантації органів та інших анатомічних матеріалів</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 w:name="n5"/>
      <w:bookmarkEnd w:id="3"/>
      <w:r w:rsidRPr="00FC2A10">
        <w:rPr>
          <w:rFonts w:ascii="Times New Roman" w:eastAsia="Times New Roman" w:hAnsi="Times New Roman" w:cs="Times New Roman"/>
          <w:color w:val="000000"/>
          <w:sz w:val="24"/>
          <w:szCs w:val="24"/>
          <w:lang w:eastAsia="ru-RU"/>
        </w:rPr>
        <w:t>Відповідно до </w:t>
      </w:r>
      <w:hyperlink r:id="rId4" w:anchor="n19" w:tgtFrame="_blank" w:history="1">
        <w:r w:rsidRPr="00FC2A10">
          <w:rPr>
            <w:rFonts w:ascii="Times New Roman" w:eastAsia="Times New Roman" w:hAnsi="Times New Roman" w:cs="Times New Roman"/>
            <w:color w:val="000099"/>
            <w:sz w:val="24"/>
            <w:szCs w:val="24"/>
            <w:u w:val="single"/>
            <w:lang w:eastAsia="ru-RU"/>
          </w:rPr>
          <w:t>підпункту 2</w:t>
        </w:r>
      </w:hyperlink>
      <w:r w:rsidRPr="00FC2A10">
        <w:rPr>
          <w:rFonts w:ascii="Times New Roman" w:eastAsia="Times New Roman" w:hAnsi="Times New Roman" w:cs="Times New Roman"/>
          <w:color w:val="000000"/>
          <w:sz w:val="24"/>
          <w:szCs w:val="24"/>
          <w:lang w:eastAsia="ru-RU"/>
        </w:rPr>
        <w:t> пункту 4 та </w:t>
      </w:r>
      <w:hyperlink r:id="rId5" w:anchor="n271" w:tgtFrame="_blank" w:history="1">
        <w:r w:rsidRPr="00FC2A10">
          <w:rPr>
            <w:rFonts w:ascii="Times New Roman" w:eastAsia="Times New Roman" w:hAnsi="Times New Roman" w:cs="Times New Roman"/>
            <w:color w:val="000099"/>
            <w:sz w:val="24"/>
            <w:szCs w:val="24"/>
            <w:u w:val="single"/>
            <w:lang w:eastAsia="ru-RU"/>
          </w:rPr>
          <w:t>пункту 8</w:t>
        </w:r>
      </w:hyperlink>
      <w:r w:rsidRPr="00FC2A10">
        <w:rPr>
          <w:rFonts w:ascii="Times New Roman" w:eastAsia="Times New Roman" w:hAnsi="Times New Roman" w:cs="Times New Roman"/>
          <w:color w:val="000000"/>
          <w:sz w:val="24"/>
          <w:szCs w:val="24"/>
          <w:lang w:eastAsia="ru-RU"/>
        </w:rPr>
        <w:t> Положення про Міністерство охорони здоров’я України, затвердженого постановою Кабінету Міністрів України від 25 березня 2015 року № 267, </w:t>
      </w:r>
      <w:hyperlink r:id="rId6" w:anchor="n15" w:tgtFrame="_blank" w:history="1">
        <w:r w:rsidRPr="00FC2A10">
          <w:rPr>
            <w:rFonts w:ascii="Times New Roman" w:eastAsia="Times New Roman" w:hAnsi="Times New Roman" w:cs="Times New Roman"/>
            <w:color w:val="000099"/>
            <w:sz w:val="24"/>
            <w:szCs w:val="24"/>
            <w:u w:val="single"/>
            <w:lang w:eastAsia="ru-RU"/>
          </w:rPr>
          <w:t>пунктів 6</w:t>
        </w:r>
      </w:hyperlink>
      <w:r w:rsidRPr="00FC2A10">
        <w:rPr>
          <w:rFonts w:ascii="Times New Roman" w:eastAsia="Times New Roman" w:hAnsi="Times New Roman" w:cs="Times New Roman"/>
          <w:color w:val="000000"/>
          <w:sz w:val="24"/>
          <w:szCs w:val="24"/>
          <w:lang w:eastAsia="ru-RU"/>
        </w:rPr>
        <w:t> і </w:t>
      </w:r>
      <w:hyperlink r:id="rId7" w:anchor="n23" w:tgtFrame="_blank" w:history="1">
        <w:r w:rsidRPr="00FC2A10">
          <w:rPr>
            <w:rFonts w:ascii="Times New Roman" w:eastAsia="Times New Roman" w:hAnsi="Times New Roman" w:cs="Times New Roman"/>
            <w:color w:val="000099"/>
            <w:sz w:val="24"/>
            <w:szCs w:val="24"/>
            <w:u w:val="single"/>
            <w:lang w:eastAsia="ru-RU"/>
          </w:rPr>
          <w:t>12</w:t>
        </w:r>
      </w:hyperlink>
      <w:r w:rsidRPr="00FC2A10">
        <w:rPr>
          <w:rFonts w:ascii="Times New Roman" w:eastAsia="Times New Roman" w:hAnsi="Times New Roman" w:cs="Times New Roman"/>
          <w:color w:val="000000"/>
          <w:sz w:val="24"/>
          <w:szCs w:val="24"/>
          <w:lang w:eastAsia="ru-RU"/>
        </w:rPr>
        <w:t> Порядку використання коштів, передбачених у державному бюджеті для виконання програм та здійснення централізованих заходів з охорони здоров’я, затвердженого постановою Кабінету Міністрів України від 17 березня 2011 року № 298, </w:t>
      </w:r>
      <w:r w:rsidRPr="00FC2A10">
        <w:rPr>
          <w:rFonts w:ascii="Times New Roman" w:eastAsia="Times New Roman" w:hAnsi="Times New Roman" w:cs="Times New Roman"/>
          <w:b/>
          <w:bCs/>
          <w:color w:val="000000"/>
          <w:spacing w:val="30"/>
          <w:sz w:val="24"/>
          <w:szCs w:val="24"/>
          <w:lang w:eastAsia="ru-RU"/>
        </w:rPr>
        <w:t>НАКАЗУЮ:</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 w:name="n6"/>
      <w:bookmarkEnd w:id="4"/>
      <w:r w:rsidRPr="00FC2A10">
        <w:rPr>
          <w:rFonts w:ascii="Times New Roman" w:eastAsia="Times New Roman" w:hAnsi="Times New Roman" w:cs="Times New Roman"/>
          <w:color w:val="000000"/>
          <w:sz w:val="24"/>
          <w:szCs w:val="24"/>
          <w:lang w:eastAsia="ru-RU"/>
        </w:rPr>
        <w:t>1. Унести зміни до </w:t>
      </w:r>
      <w:hyperlink r:id="rId8" w:anchor="n16" w:tgtFrame="_blank" w:history="1">
        <w:r w:rsidRPr="00FC2A10">
          <w:rPr>
            <w:rFonts w:ascii="Times New Roman" w:eastAsia="Times New Roman" w:hAnsi="Times New Roman" w:cs="Times New Roman"/>
            <w:color w:val="000099"/>
            <w:sz w:val="24"/>
            <w:szCs w:val="24"/>
            <w:u w:val="single"/>
            <w:lang w:eastAsia="ru-RU"/>
          </w:rPr>
          <w:t>Методики планування та розрахунку кількості лікарських засобів, медичних виробів, що закуповуються за рахунок та у межах відповідного обсягу видатків, затвердженого в державному та місцевих бюджетах на відповідний рік, для забезпечення хворих, що перенесли або готуються до трансплантації органів та інших анатомічних матеріалів</w:t>
        </w:r>
      </w:hyperlink>
      <w:r w:rsidRPr="00FC2A10">
        <w:rPr>
          <w:rFonts w:ascii="Times New Roman" w:eastAsia="Times New Roman" w:hAnsi="Times New Roman" w:cs="Times New Roman"/>
          <w:color w:val="000000"/>
          <w:sz w:val="24"/>
          <w:szCs w:val="24"/>
          <w:lang w:eastAsia="ru-RU"/>
        </w:rPr>
        <w:t>, затвердженої наказом Міністерства охорони здоров’я України від 12 січня 2016 року № 9, зареєстрованої в Міністерстві юстиції України 02 лютого 2016 року за № 173/28303, виклавши її у новій редакції, що додається.</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 w:name="n7"/>
      <w:bookmarkEnd w:id="5"/>
      <w:r w:rsidRPr="00FC2A10">
        <w:rPr>
          <w:rFonts w:ascii="Times New Roman" w:eastAsia="Times New Roman" w:hAnsi="Times New Roman" w:cs="Times New Roman"/>
          <w:color w:val="000000"/>
          <w:sz w:val="24"/>
          <w:szCs w:val="24"/>
          <w:lang w:eastAsia="ru-RU"/>
        </w:rPr>
        <w:t>2. Департаменту впровадження реформ забезпечити в установленому порядку подання цього наказу на державну реєстрацію до Міністерства юстиції України.</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 w:name="n8"/>
      <w:bookmarkEnd w:id="6"/>
      <w:r w:rsidRPr="00FC2A10">
        <w:rPr>
          <w:rFonts w:ascii="Times New Roman" w:eastAsia="Times New Roman" w:hAnsi="Times New Roman" w:cs="Times New Roman"/>
          <w:color w:val="000000"/>
          <w:sz w:val="24"/>
          <w:szCs w:val="24"/>
          <w:lang w:eastAsia="ru-RU"/>
        </w:rPr>
        <w:t>3. Контроль за виконанням цього наказу покласти на заступника Міністра з питань європейської інтеграції Стефанишину О.А.</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 w:name="n9"/>
      <w:bookmarkEnd w:id="7"/>
      <w:r w:rsidRPr="00FC2A10">
        <w:rPr>
          <w:rFonts w:ascii="Times New Roman" w:eastAsia="Times New Roman" w:hAnsi="Times New Roman" w:cs="Times New Roman"/>
          <w:color w:val="000000"/>
          <w:sz w:val="24"/>
          <w:szCs w:val="24"/>
          <w:lang w:eastAsia="ru-RU"/>
        </w:rPr>
        <w:t>4. Цей наказ набирає чинності з дня його офіційного опублікування.</w:t>
      </w:r>
    </w:p>
    <w:tbl>
      <w:tblPr>
        <w:tblW w:w="5000" w:type="pct"/>
        <w:tblCellMar>
          <w:left w:w="0" w:type="dxa"/>
          <w:right w:w="0" w:type="dxa"/>
        </w:tblCellMar>
        <w:tblLook w:val="04A0" w:firstRow="1" w:lastRow="0" w:firstColumn="1" w:lastColumn="0" w:noHBand="0" w:noVBand="1"/>
      </w:tblPr>
      <w:tblGrid>
        <w:gridCol w:w="3862"/>
        <w:gridCol w:w="1618"/>
        <w:gridCol w:w="3675"/>
        <w:gridCol w:w="194"/>
      </w:tblGrid>
      <w:tr w:rsidR="00FC2A10" w:rsidRPr="00FC2A10" w:rsidTr="00FC2A10">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300" w:after="150" w:line="240" w:lineRule="auto"/>
              <w:jc w:val="center"/>
              <w:rPr>
                <w:rFonts w:ascii="Times New Roman" w:eastAsia="Times New Roman" w:hAnsi="Times New Roman" w:cs="Times New Roman"/>
                <w:sz w:val="24"/>
                <w:szCs w:val="24"/>
                <w:lang w:eastAsia="ru-RU"/>
              </w:rPr>
            </w:pPr>
            <w:bookmarkStart w:id="8" w:name="n10"/>
            <w:bookmarkEnd w:id="8"/>
            <w:r w:rsidRPr="00FC2A10">
              <w:rPr>
                <w:rFonts w:ascii="Times New Roman" w:eastAsia="Times New Roman" w:hAnsi="Times New Roman" w:cs="Times New Roman"/>
                <w:b/>
                <w:bCs/>
                <w:color w:val="000000"/>
                <w:sz w:val="24"/>
                <w:szCs w:val="24"/>
                <w:lang w:eastAsia="ru-RU"/>
              </w:rPr>
              <w:t>Заступник Міністра</w:t>
            </w:r>
          </w:p>
        </w:tc>
        <w:tc>
          <w:tcPr>
            <w:tcW w:w="3500" w:type="pct"/>
            <w:gridSpan w:val="3"/>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300" w:after="0" w:line="240" w:lineRule="auto"/>
              <w:jc w:val="right"/>
              <w:rPr>
                <w:rFonts w:ascii="Times New Roman" w:eastAsia="Times New Roman" w:hAnsi="Times New Roman" w:cs="Times New Roman"/>
                <w:sz w:val="24"/>
                <w:szCs w:val="24"/>
                <w:lang w:eastAsia="ru-RU"/>
              </w:rPr>
            </w:pPr>
            <w:r w:rsidRPr="00FC2A10">
              <w:rPr>
                <w:rFonts w:ascii="Times New Roman" w:eastAsia="Times New Roman" w:hAnsi="Times New Roman" w:cs="Times New Roman"/>
                <w:b/>
                <w:bCs/>
                <w:color w:val="000000"/>
                <w:sz w:val="24"/>
                <w:szCs w:val="24"/>
                <w:lang w:eastAsia="ru-RU"/>
              </w:rPr>
              <w:t>П. Ковтонюк</w:t>
            </w:r>
          </w:p>
        </w:tc>
      </w:tr>
      <w:tr w:rsidR="00FC2A10" w:rsidRPr="00FC2A10" w:rsidTr="00FC2A10">
        <w:trPr>
          <w:gridAfter w:val="1"/>
          <w:wAfter w:w="1163" w:type="dxa"/>
        </w:trPr>
        <w:tc>
          <w:tcPr>
            <w:tcW w:w="3000" w:type="pct"/>
            <w:gridSpan w:val="2"/>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9" w:name="n11"/>
            <w:bookmarkEnd w:id="9"/>
            <w:r w:rsidRPr="00FC2A10">
              <w:rPr>
                <w:rFonts w:ascii="Times New Roman" w:eastAsia="Times New Roman" w:hAnsi="Times New Roman" w:cs="Times New Roman"/>
                <w:sz w:val="24"/>
                <w:szCs w:val="24"/>
                <w:lang w:eastAsia="ru-RU"/>
              </w:rPr>
              <w:t>ПОГОДЖЕНО: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sz w:val="24"/>
                <w:szCs w:val="24"/>
                <w:lang w:eastAsia="ru-RU"/>
              </w:rPr>
              <w:br/>
              <w:t>Президент Національної академії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sz w:val="24"/>
                <w:szCs w:val="24"/>
                <w:lang w:eastAsia="ru-RU"/>
              </w:rPr>
              <w:lastRenderedPageBreak/>
              <w:t>медичних наук України </w:t>
            </w:r>
            <w:r w:rsidRPr="00FC2A10">
              <w:rPr>
                <w:rFonts w:ascii="Times New Roman" w:eastAsia="Times New Roman" w:hAnsi="Times New Roman" w:cs="Times New Roman"/>
                <w:sz w:val="24"/>
                <w:szCs w:val="24"/>
                <w:lang w:eastAsia="ru-RU"/>
              </w:rPr>
              <w:br/>
              <w:t>академік</w:t>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right"/>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lastRenderedPageBreak/>
              <w:br/>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sz w:val="24"/>
                <w:szCs w:val="24"/>
                <w:lang w:eastAsia="ru-RU"/>
              </w:rPr>
              <w:lastRenderedPageBreak/>
              <w:br/>
              <w:t>В. Цимбалюк</w:t>
            </w:r>
          </w:p>
        </w:tc>
      </w:tr>
    </w:tbl>
    <w:p w:rsidR="00FC2A10" w:rsidRPr="00FC2A10" w:rsidRDefault="00FC2A10" w:rsidP="00FC2A10">
      <w:pPr>
        <w:spacing w:after="0" w:line="240" w:lineRule="auto"/>
        <w:rPr>
          <w:rFonts w:ascii="Times New Roman" w:eastAsia="Times New Roman" w:hAnsi="Times New Roman" w:cs="Times New Roman"/>
          <w:sz w:val="24"/>
          <w:szCs w:val="24"/>
          <w:lang w:eastAsia="ru-RU"/>
        </w:rPr>
      </w:pPr>
      <w:bookmarkStart w:id="10" w:name="n134"/>
      <w:bookmarkEnd w:id="10"/>
      <w:r w:rsidRPr="00FC2A10">
        <w:rPr>
          <w:rFonts w:ascii="Times New Roman" w:eastAsia="Times New Roman" w:hAnsi="Times New Roman" w:cs="Times New Roman"/>
          <w:sz w:val="24"/>
          <w:szCs w:val="24"/>
          <w:lang w:eastAsia="ru-RU"/>
        </w:rPr>
        <w:lastRenderedPageBreak/>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609"/>
        <w:gridCol w:w="3740"/>
      </w:tblGrid>
      <w:tr w:rsidR="00FC2A10" w:rsidRPr="00FC2A10" w:rsidTr="00FC2A10">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1" w:name="n12"/>
            <w:bookmarkEnd w:id="11"/>
            <w:r w:rsidRPr="00FC2A10">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b/>
                <w:bCs/>
                <w:color w:val="000000"/>
                <w:sz w:val="24"/>
                <w:szCs w:val="24"/>
                <w:lang w:eastAsia="ru-RU"/>
              </w:rPr>
              <w:t>ЗАТВЕРДЖЕНО</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Наказ Міністерства</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охорони здоров’я України</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12 січня 2016 року № 9</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(у редакції наказу</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Міністерства охорони</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здоров’я України</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від 11 травня 2019 року № 1061)</w:t>
            </w:r>
          </w:p>
        </w:tc>
      </w:tr>
      <w:tr w:rsidR="00FC2A10" w:rsidRPr="00FC2A10" w:rsidTr="00FC2A10">
        <w:tc>
          <w:tcPr>
            <w:tcW w:w="30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2" w:name="n13"/>
            <w:bookmarkEnd w:id="12"/>
            <w:r w:rsidRPr="00FC2A10">
              <w:rPr>
                <w:rFonts w:ascii="Times New Roman" w:eastAsia="Times New Roman" w:hAnsi="Times New Roman" w:cs="Times New Roman"/>
                <w:b/>
                <w:bCs/>
                <w:color w:val="000000"/>
                <w:sz w:val="24"/>
                <w:szCs w:val="24"/>
                <w:lang w:eastAsia="ru-RU"/>
              </w:rPr>
              <w:br/>
            </w:r>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b/>
                <w:bCs/>
                <w:color w:val="000000"/>
                <w:sz w:val="24"/>
                <w:szCs w:val="24"/>
                <w:lang w:eastAsia="ru-RU"/>
              </w:rPr>
              <w:t>Зареєстровано в Міністерстві</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юстиції України</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27 травня 2019 р.</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за № 552/33523</w:t>
            </w:r>
          </w:p>
        </w:tc>
      </w:tr>
    </w:tbl>
    <w:p w:rsidR="00FC2A10" w:rsidRPr="00FC2A10" w:rsidRDefault="00FC2A10" w:rsidP="00FC2A10">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ru-RU"/>
        </w:rPr>
      </w:pPr>
      <w:bookmarkStart w:id="13" w:name="n14"/>
      <w:bookmarkEnd w:id="13"/>
      <w:r w:rsidRPr="00FC2A10">
        <w:rPr>
          <w:rFonts w:ascii="Times New Roman" w:eastAsia="Times New Roman" w:hAnsi="Times New Roman" w:cs="Times New Roman"/>
          <w:b/>
          <w:bCs/>
          <w:color w:val="000000"/>
          <w:sz w:val="32"/>
          <w:szCs w:val="32"/>
          <w:lang w:eastAsia="ru-RU"/>
        </w:rPr>
        <w:t>МЕТОДИКА </w:t>
      </w:r>
      <w:r w:rsidRPr="00FC2A10">
        <w:rPr>
          <w:rFonts w:ascii="Times New Roman" w:eastAsia="Times New Roman" w:hAnsi="Times New Roman" w:cs="Times New Roman"/>
          <w:color w:val="000000"/>
          <w:sz w:val="24"/>
          <w:szCs w:val="24"/>
          <w:lang w:eastAsia="ru-RU"/>
        </w:rPr>
        <w:br/>
      </w:r>
      <w:r w:rsidRPr="00FC2A10">
        <w:rPr>
          <w:rFonts w:ascii="Times New Roman" w:eastAsia="Times New Roman" w:hAnsi="Times New Roman" w:cs="Times New Roman"/>
          <w:b/>
          <w:bCs/>
          <w:color w:val="000000"/>
          <w:sz w:val="32"/>
          <w:szCs w:val="32"/>
          <w:lang w:eastAsia="ru-RU"/>
        </w:rPr>
        <w:t>планування та розрахунку кількості лікарських засобів, медичних виробів, що закуповуються за рахунок та у межах відповідного обсягу видатків, затвердженого в державному та місцевих бюджетах на відповідний рік, для забезпечення хворих, що перенесли або готуються до трансплантації органів та інших анатомічних матеріалів</w:t>
      </w:r>
    </w:p>
    <w:p w:rsidR="00FC2A10" w:rsidRPr="00FC2A10" w:rsidRDefault="00FC2A10" w:rsidP="00FC2A10">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4" w:name="n15"/>
      <w:bookmarkEnd w:id="14"/>
      <w:r w:rsidRPr="00FC2A10">
        <w:rPr>
          <w:rFonts w:ascii="Times New Roman" w:eastAsia="Times New Roman" w:hAnsi="Times New Roman" w:cs="Times New Roman"/>
          <w:b/>
          <w:bCs/>
          <w:color w:val="000000"/>
          <w:sz w:val="28"/>
          <w:szCs w:val="28"/>
          <w:lang w:eastAsia="ru-RU"/>
        </w:rPr>
        <w:t>I. Загальні положення</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5" w:name="n16"/>
      <w:bookmarkEnd w:id="15"/>
      <w:r w:rsidRPr="00FC2A10">
        <w:rPr>
          <w:rFonts w:ascii="Times New Roman" w:eastAsia="Times New Roman" w:hAnsi="Times New Roman" w:cs="Times New Roman"/>
          <w:color w:val="000000"/>
          <w:sz w:val="24"/>
          <w:szCs w:val="24"/>
          <w:lang w:eastAsia="ru-RU"/>
        </w:rPr>
        <w:t>1. Ця Методика визначає механізм визначення потреби хворих, що перенесли або готуються до трансплантації органів та інших анатомічних матеріалів, у лікарських засобах, які виготовляють у формі таблеток, капсул, драже, флаконів, ампул, розчинів, порошків, шприц-тюбиків тощо, та медичних виробах.</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6" w:name="n17"/>
      <w:bookmarkEnd w:id="16"/>
      <w:r w:rsidRPr="00FC2A10">
        <w:rPr>
          <w:rFonts w:ascii="Times New Roman" w:eastAsia="Times New Roman" w:hAnsi="Times New Roman" w:cs="Times New Roman"/>
          <w:color w:val="000000"/>
          <w:sz w:val="24"/>
          <w:szCs w:val="24"/>
          <w:lang w:eastAsia="ru-RU"/>
        </w:rPr>
        <w:t>2. Ця Методика застосовується Міністерством охорони здоров’я Автономної Республіки Крим, структурними підрозділами з питань охорони здоров’я обласних, Київської та Севастопольської міських державних адміністрацій, закладами охорони здоров’я, що належать до сфери управління МОЗ, з метою забезпечення подання до МОЗ заявок на закупівлю лікарських засобів та медичних виробів за бюджетні кошти у визначені ним строки.</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7" w:name="n18"/>
      <w:bookmarkEnd w:id="17"/>
      <w:r w:rsidRPr="00FC2A10">
        <w:rPr>
          <w:rFonts w:ascii="Times New Roman" w:eastAsia="Times New Roman" w:hAnsi="Times New Roman" w:cs="Times New Roman"/>
          <w:color w:val="000000"/>
          <w:sz w:val="24"/>
          <w:szCs w:val="24"/>
          <w:lang w:eastAsia="ru-RU"/>
        </w:rPr>
        <w:t xml:space="preserve">3. Ця Методика застосовується для розрахунку кількості лікарських засобів та медичних виробів, які закуповують за рахунок та </w:t>
      </w:r>
      <w:proofErr w:type="gramStart"/>
      <w:r w:rsidRPr="00FC2A10">
        <w:rPr>
          <w:rFonts w:ascii="Times New Roman" w:eastAsia="Times New Roman" w:hAnsi="Times New Roman" w:cs="Times New Roman"/>
          <w:color w:val="000000"/>
          <w:sz w:val="24"/>
          <w:szCs w:val="24"/>
          <w:lang w:eastAsia="ru-RU"/>
        </w:rPr>
        <w:t>у межах</w:t>
      </w:r>
      <w:proofErr w:type="gramEnd"/>
      <w:r w:rsidRPr="00FC2A10">
        <w:rPr>
          <w:rFonts w:ascii="Times New Roman" w:eastAsia="Times New Roman" w:hAnsi="Times New Roman" w:cs="Times New Roman"/>
          <w:color w:val="000000"/>
          <w:sz w:val="24"/>
          <w:szCs w:val="24"/>
          <w:lang w:eastAsia="ru-RU"/>
        </w:rPr>
        <w:t xml:space="preserve"> відповідного обсягу видатків, затвердженого у державному та місцевих бюджетах на відповідний рік, для забезпечення хворих, що перенесли або готуються до трансплантації органів та інших анатомічних матеріалів.</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8" w:name="n19"/>
      <w:bookmarkEnd w:id="18"/>
      <w:r w:rsidRPr="00FC2A10">
        <w:rPr>
          <w:rFonts w:ascii="Times New Roman" w:eastAsia="Times New Roman" w:hAnsi="Times New Roman" w:cs="Times New Roman"/>
          <w:color w:val="000000"/>
          <w:sz w:val="24"/>
          <w:szCs w:val="24"/>
          <w:lang w:eastAsia="ru-RU"/>
        </w:rPr>
        <w:t xml:space="preserve">4. Розрахунок лікарських засобів імуносупресивної дії щодо кожного хворого є індивідуальним і персоніфікованим та таким, що залежить від виду трансплантації (родинна, неродинна), ступеня імунологічної відповіді (наявність високого рівня антитіл), </w:t>
      </w:r>
      <w:r w:rsidRPr="00FC2A10">
        <w:rPr>
          <w:rFonts w:ascii="Times New Roman" w:eastAsia="Times New Roman" w:hAnsi="Times New Roman" w:cs="Times New Roman"/>
          <w:color w:val="000000"/>
          <w:sz w:val="24"/>
          <w:szCs w:val="24"/>
          <w:lang w:eastAsia="ru-RU"/>
        </w:rPr>
        <w:lastRenderedPageBreak/>
        <w:t>кількості раніше виконаних трансплантацій, віку хворого, невідповідності групової приналежності крові донора та реципієнта.</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9" w:name="n20"/>
      <w:bookmarkEnd w:id="19"/>
      <w:r w:rsidRPr="00FC2A10">
        <w:rPr>
          <w:rFonts w:ascii="Times New Roman" w:eastAsia="Times New Roman" w:hAnsi="Times New Roman" w:cs="Times New Roman"/>
          <w:color w:val="000000"/>
          <w:sz w:val="24"/>
          <w:szCs w:val="24"/>
          <w:lang w:eastAsia="ru-RU"/>
        </w:rPr>
        <w:t>Дозування лікарських засобів імуносупресивної дії коливається в межах терапевтичної дози, що визначена державними соціальними нормативами, галузевими стандартами та нормативно-правовими актами у сфері охорони здоров’я, які використовують у разі призначення препаратів імуносупресивної терапії, але остаточною може бути на підставі визначення концентрації препарату в крові реципієнта.</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0" w:name="n21"/>
      <w:bookmarkEnd w:id="20"/>
      <w:r w:rsidRPr="00FC2A10">
        <w:rPr>
          <w:rFonts w:ascii="Times New Roman" w:eastAsia="Times New Roman" w:hAnsi="Times New Roman" w:cs="Times New Roman"/>
          <w:color w:val="000000"/>
          <w:sz w:val="24"/>
          <w:szCs w:val="24"/>
          <w:lang w:eastAsia="ru-RU"/>
        </w:rPr>
        <w:t>У разі призначення хворим, що перенесли трансплантацію органів та інших анатомічних матеріалів, лікарських засобів імуносупресивної дії необхідно орієнтуватися на загальний стан хворого, наявність ускладнень після оперативного трансплантаційного втручання, побічної дії та індивідуального перенесення лікарських засобів імуносупресивної дії, супутньої патології та ефективності лікарського засобу.</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1" w:name="n22"/>
      <w:bookmarkEnd w:id="21"/>
      <w:r w:rsidRPr="00FC2A10">
        <w:rPr>
          <w:rFonts w:ascii="Times New Roman" w:eastAsia="Times New Roman" w:hAnsi="Times New Roman" w:cs="Times New Roman"/>
          <w:color w:val="000000"/>
          <w:sz w:val="24"/>
          <w:szCs w:val="24"/>
          <w:lang w:eastAsia="ru-RU"/>
        </w:rPr>
        <w:t>Заміна лікарських засобів імуносупресивної дії та/або схеми їх прийому можлива у випадках розвитку гострого та хронічного відторгнення трансплантату, а також у разі виникнення побічних ефектів.</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2" w:name="n23"/>
      <w:bookmarkEnd w:id="22"/>
      <w:r w:rsidRPr="00FC2A10">
        <w:rPr>
          <w:rFonts w:ascii="Times New Roman" w:eastAsia="Times New Roman" w:hAnsi="Times New Roman" w:cs="Times New Roman"/>
          <w:color w:val="000000"/>
          <w:sz w:val="24"/>
          <w:szCs w:val="24"/>
          <w:lang w:eastAsia="ru-RU"/>
        </w:rPr>
        <w:t>5. Під час формування загальної потреби для хворих, що перенесли трансплантацію органів та інших анатомічних матеріалів, у препаратах імуносупресивної дії потрібно враховувати переміщення хворих, що перенесли трансплантацію органів та інших анатомічних матеріалів, кількість хворих, що вибули (внутрішня та зовнішня міграція, смерть, відторгнення трансплантату), в регіонах, коливання дози та можливу конверсію лікарських засобів імуносупресивної дії, що приймаються хворими, з урахуванням факторів, наведених у пункті 4 цього розділу, та забезпечувати закупівлю імуносупресивних препаратів з урахуванням темпу приросту пацієнтів у програмі за рахунок хворих, що перенесли або перенесуть трансплантацію органів та інших анатомічних матеріалів за межами України, або тих, яким виконають трансплантацію органів в Україні протягом поточного року.</w:t>
      </w:r>
    </w:p>
    <w:p w:rsidR="00FC2A10" w:rsidRPr="00FC2A10" w:rsidRDefault="00FC2A10" w:rsidP="00FC2A10">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23" w:name="n24"/>
      <w:bookmarkEnd w:id="23"/>
      <w:r w:rsidRPr="00FC2A10">
        <w:rPr>
          <w:rFonts w:ascii="Times New Roman" w:eastAsia="Times New Roman" w:hAnsi="Times New Roman" w:cs="Times New Roman"/>
          <w:b/>
          <w:bCs/>
          <w:color w:val="000000"/>
          <w:sz w:val="28"/>
          <w:szCs w:val="28"/>
          <w:lang w:eastAsia="ru-RU"/>
        </w:rPr>
        <w:t xml:space="preserve">II. Розрахунок потреби в медикаментах для хворих у </w:t>
      </w:r>
      <w:proofErr w:type="gramStart"/>
      <w:r w:rsidRPr="00FC2A10">
        <w:rPr>
          <w:rFonts w:ascii="Times New Roman" w:eastAsia="Times New Roman" w:hAnsi="Times New Roman" w:cs="Times New Roman"/>
          <w:b/>
          <w:bCs/>
          <w:color w:val="000000"/>
          <w:sz w:val="28"/>
          <w:szCs w:val="28"/>
          <w:lang w:eastAsia="ru-RU"/>
        </w:rPr>
        <w:t>до- та</w:t>
      </w:r>
      <w:proofErr w:type="gramEnd"/>
      <w:r w:rsidRPr="00FC2A10">
        <w:rPr>
          <w:rFonts w:ascii="Times New Roman" w:eastAsia="Times New Roman" w:hAnsi="Times New Roman" w:cs="Times New Roman"/>
          <w:b/>
          <w:bCs/>
          <w:color w:val="000000"/>
          <w:sz w:val="28"/>
          <w:szCs w:val="28"/>
          <w:lang w:eastAsia="ru-RU"/>
        </w:rPr>
        <w:t xml:space="preserve"> післяопераційний період з трансплантації</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4" w:name="n25"/>
      <w:bookmarkEnd w:id="24"/>
      <w:r w:rsidRPr="00FC2A10">
        <w:rPr>
          <w:rFonts w:ascii="Times New Roman" w:eastAsia="Times New Roman" w:hAnsi="Times New Roman" w:cs="Times New Roman"/>
          <w:color w:val="000000"/>
          <w:sz w:val="24"/>
          <w:szCs w:val="24"/>
          <w:lang w:eastAsia="ru-RU"/>
        </w:rPr>
        <w:t>1. Інгібітори кальциневрину:</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5" w:name="n26"/>
      <w:bookmarkEnd w:id="25"/>
      <w:r w:rsidRPr="00FC2A10">
        <w:rPr>
          <w:rFonts w:ascii="Times New Roman" w:eastAsia="Times New Roman" w:hAnsi="Times New Roman" w:cs="Times New Roman"/>
          <w:color w:val="000000"/>
          <w:sz w:val="24"/>
          <w:szCs w:val="24"/>
          <w:lang w:eastAsia="ru-RU"/>
        </w:rPr>
        <w:t>такролімус (таблетки, таблетки пролонгованої дії, капсули, капсули пролонгованої дії).</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6" w:name="n27"/>
      <w:bookmarkEnd w:id="26"/>
      <w:r w:rsidRPr="00FC2A10">
        <w:rPr>
          <w:rFonts w:ascii="Times New Roman" w:eastAsia="Times New Roman" w:hAnsi="Times New Roman" w:cs="Times New Roman"/>
          <w:color w:val="000000"/>
          <w:sz w:val="24"/>
          <w:szCs w:val="24"/>
          <w:lang w:eastAsia="ru-RU"/>
        </w:rPr>
        <w:t xml:space="preserve">Початкове дозування для дорослих із трансплантованою ниркою </w:t>
      </w:r>
      <w:proofErr w:type="gramStart"/>
      <w:r w:rsidRPr="00FC2A10">
        <w:rPr>
          <w:rFonts w:ascii="Times New Roman" w:eastAsia="Times New Roman" w:hAnsi="Times New Roman" w:cs="Times New Roman"/>
          <w:color w:val="000000"/>
          <w:sz w:val="24"/>
          <w:szCs w:val="24"/>
          <w:lang w:eastAsia="ru-RU"/>
        </w:rPr>
        <w:t>у таблетках</w:t>
      </w:r>
      <w:proofErr w:type="gramEnd"/>
      <w:r w:rsidRPr="00FC2A10">
        <w:rPr>
          <w:rFonts w:ascii="Times New Roman" w:eastAsia="Times New Roman" w:hAnsi="Times New Roman" w:cs="Times New Roman"/>
          <w:color w:val="000000"/>
          <w:sz w:val="24"/>
          <w:szCs w:val="24"/>
          <w:lang w:eastAsia="ru-RU"/>
        </w:rPr>
        <w:t xml:space="preserve"> становить 0,2 мг/кг на добу або 0,1-0,15 мг/кг на добу (у комбінації з антагоністами рецепторів IL-2 та MMF).</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7" w:name="n28"/>
      <w:bookmarkEnd w:id="27"/>
      <w:r w:rsidRPr="00FC2A10">
        <w:rPr>
          <w:rFonts w:ascii="Times New Roman" w:eastAsia="Times New Roman" w:hAnsi="Times New Roman" w:cs="Times New Roman"/>
          <w:color w:val="000000"/>
          <w:sz w:val="24"/>
          <w:szCs w:val="24"/>
          <w:lang w:eastAsia="ru-RU"/>
        </w:rPr>
        <w:t>Початкове дозування для пацієнтів із трансплантованою печінкою становить 0,10-0,15 мг/кг на добу, для пацієнтів, у яких проведено пересадку серця - 0,075 мг/кг на добу.</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8" w:name="n29"/>
      <w:bookmarkEnd w:id="28"/>
      <w:r w:rsidRPr="00FC2A10">
        <w:rPr>
          <w:rFonts w:ascii="Times New Roman" w:eastAsia="Times New Roman" w:hAnsi="Times New Roman" w:cs="Times New Roman"/>
          <w:color w:val="000000"/>
          <w:sz w:val="24"/>
          <w:szCs w:val="24"/>
          <w:lang w:eastAsia="ru-RU"/>
        </w:rPr>
        <w:t>Для дітей із трансплантацією печінки рекомендовано починати з внутрішньовенного застосування такролімусу в дозуванні 0,03-0,05 мг/кг на добу, а згодом перевести пацієнта на таблетовану форму препарату з дозуванням 0,15-0,20 мг/кг на добу;</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29" w:name="n30"/>
      <w:bookmarkEnd w:id="29"/>
      <w:r w:rsidRPr="00FC2A10">
        <w:rPr>
          <w:rFonts w:ascii="Times New Roman" w:eastAsia="Times New Roman" w:hAnsi="Times New Roman" w:cs="Times New Roman"/>
          <w:color w:val="000000"/>
          <w:sz w:val="24"/>
          <w:szCs w:val="24"/>
          <w:lang w:eastAsia="ru-RU"/>
        </w:rPr>
        <w:t>циклоспорин (таблетки, капсули). Початкове дозування для дорослих становить 8-10 мг/кг на добу, яке через 1-2 тижні знижується до підтримуючого дозування, що становить 5-10 мг/кг на добу. Протягом трьох місяців дозування знижується до 3-5 мг/кг на добу і корегується відповідно до концентрації препарату у крові.</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0" w:name="n31"/>
      <w:bookmarkEnd w:id="30"/>
      <w:r w:rsidRPr="00FC2A10">
        <w:rPr>
          <w:rFonts w:ascii="Times New Roman" w:eastAsia="Times New Roman" w:hAnsi="Times New Roman" w:cs="Times New Roman"/>
          <w:color w:val="000000"/>
          <w:sz w:val="24"/>
          <w:szCs w:val="24"/>
          <w:lang w:eastAsia="ru-RU"/>
        </w:rPr>
        <w:t>Початкове дозування для дітей становить 10-15 мг/кг або 500 мг/м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 на добу протягом перших чотирьох днів і в подальшому корегується шляхом моніторингу концентрації препарату у крові.</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1" w:name="n32"/>
      <w:bookmarkEnd w:id="31"/>
      <w:r w:rsidRPr="00FC2A10">
        <w:rPr>
          <w:rFonts w:ascii="Times New Roman" w:eastAsia="Times New Roman" w:hAnsi="Times New Roman" w:cs="Times New Roman"/>
          <w:color w:val="000000"/>
          <w:sz w:val="24"/>
          <w:szCs w:val="24"/>
          <w:lang w:eastAsia="ru-RU"/>
        </w:rPr>
        <w:lastRenderedPageBreak/>
        <w:t>2. Препарати, які гальмують поділ клітин:</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2" w:name="n33"/>
      <w:bookmarkEnd w:id="32"/>
      <w:r w:rsidRPr="00FC2A10">
        <w:rPr>
          <w:rFonts w:ascii="Times New Roman" w:eastAsia="Times New Roman" w:hAnsi="Times New Roman" w:cs="Times New Roman"/>
          <w:color w:val="000000"/>
          <w:sz w:val="24"/>
          <w:szCs w:val="24"/>
          <w:lang w:eastAsia="ru-RU"/>
        </w:rPr>
        <w:t>азатіоприн (таблетки, капсули). Початкове дозування для дорослих та дітей становить 2-3 мг/кг на добу, починаючи із дня операції або за 1-3 дні до операції. Рекомендоване дозування становить 1-3 мг/кг на добу;</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3" w:name="n34"/>
      <w:bookmarkEnd w:id="33"/>
      <w:r w:rsidRPr="00FC2A10">
        <w:rPr>
          <w:rFonts w:ascii="Times New Roman" w:eastAsia="Times New Roman" w:hAnsi="Times New Roman" w:cs="Times New Roman"/>
          <w:color w:val="000000"/>
          <w:sz w:val="24"/>
          <w:szCs w:val="24"/>
          <w:lang w:eastAsia="ru-RU"/>
        </w:rPr>
        <w:t>мікофенолова кислота та її солі (натрію мікофенолат) (таблетки, капсули). Рекомендоване дозування для дорослих із трансплантованою ниркою становить 720 мг двічі на добу (добове дозування становить 1440 мг).</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4" w:name="n35"/>
      <w:bookmarkEnd w:id="34"/>
      <w:r w:rsidRPr="00FC2A10">
        <w:rPr>
          <w:rFonts w:ascii="Times New Roman" w:eastAsia="Times New Roman" w:hAnsi="Times New Roman" w:cs="Times New Roman"/>
          <w:color w:val="000000"/>
          <w:sz w:val="24"/>
          <w:szCs w:val="24"/>
          <w:lang w:eastAsia="ru-RU"/>
        </w:rPr>
        <w:t>Рекомендоване дозування для дітей із трансплантованою ниркою (через шість місяців після трансплантації) становить 400 мг/м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 площі тіла, приймається двічі на добу (максимальне дозування 720 мг, розділене на два прийоми);</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5" w:name="n36"/>
      <w:bookmarkEnd w:id="35"/>
      <w:r w:rsidRPr="00FC2A10">
        <w:rPr>
          <w:rFonts w:ascii="Times New Roman" w:eastAsia="Times New Roman" w:hAnsi="Times New Roman" w:cs="Times New Roman"/>
          <w:color w:val="000000"/>
          <w:sz w:val="24"/>
          <w:szCs w:val="24"/>
          <w:lang w:eastAsia="ru-RU"/>
        </w:rPr>
        <w:t>мофетіла мікофенолат (таблетки, капсули). Рекомендоване дозування для дорослих із трансплантацією серця, печінки становить 1 г двічі на добу (добове дозування становить 2 г).</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6" w:name="n37"/>
      <w:bookmarkEnd w:id="36"/>
      <w:r w:rsidRPr="00FC2A10">
        <w:rPr>
          <w:rFonts w:ascii="Times New Roman" w:eastAsia="Times New Roman" w:hAnsi="Times New Roman" w:cs="Times New Roman"/>
          <w:color w:val="000000"/>
          <w:sz w:val="24"/>
          <w:szCs w:val="24"/>
          <w:lang w:eastAsia="ru-RU"/>
        </w:rPr>
        <w:t>Для дітей із площею тіла менше ніж 1,25 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 застосовують мофетіл мікофенолат у суспензії, дозування становить 600 мг/м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 двічі на добу.</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7" w:name="n38"/>
      <w:bookmarkEnd w:id="37"/>
      <w:r w:rsidRPr="00FC2A10">
        <w:rPr>
          <w:rFonts w:ascii="Times New Roman" w:eastAsia="Times New Roman" w:hAnsi="Times New Roman" w:cs="Times New Roman"/>
          <w:color w:val="000000"/>
          <w:sz w:val="24"/>
          <w:szCs w:val="24"/>
          <w:lang w:eastAsia="ru-RU"/>
        </w:rPr>
        <w:t>Для дітей із площею тіла 1,25-1,5 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 xml:space="preserve"> можна застосовувати препарат </w:t>
      </w:r>
      <w:proofErr w:type="gramStart"/>
      <w:r w:rsidRPr="00FC2A10">
        <w:rPr>
          <w:rFonts w:ascii="Times New Roman" w:eastAsia="Times New Roman" w:hAnsi="Times New Roman" w:cs="Times New Roman"/>
          <w:color w:val="000000"/>
          <w:sz w:val="24"/>
          <w:szCs w:val="24"/>
          <w:lang w:eastAsia="ru-RU"/>
        </w:rPr>
        <w:t>у капсулах</w:t>
      </w:r>
      <w:proofErr w:type="gramEnd"/>
      <w:r w:rsidRPr="00FC2A10">
        <w:rPr>
          <w:rFonts w:ascii="Times New Roman" w:eastAsia="Times New Roman" w:hAnsi="Times New Roman" w:cs="Times New Roman"/>
          <w:color w:val="000000"/>
          <w:sz w:val="24"/>
          <w:szCs w:val="24"/>
          <w:lang w:eastAsia="ru-RU"/>
        </w:rPr>
        <w:t xml:space="preserve"> у дозуванні 750 мг двічі на добу (добове дозування становить 1,5 г).</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8" w:name="n39"/>
      <w:bookmarkEnd w:id="38"/>
      <w:r w:rsidRPr="00FC2A10">
        <w:rPr>
          <w:rFonts w:ascii="Times New Roman" w:eastAsia="Times New Roman" w:hAnsi="Times New Roman" w:cs="Times New Roman"/>
          <w:color w:val="000000"/>
          <w:sz w:val="24"/>
          <w:szCs w:val="24"/>
          <w:lang w:eastAsia="ru-RU"/>
        </w:rPr>
        <w:t>3. Інгібітори mTOR:</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39" w:name="n40"/>
      <w:bookmarkEnd w:id="39"/>
      <w:r w:rsidRPr="00FC2A10">
        <w:rPr>
          <w:rFonts w:ascii="Times New Roman" w:eastAsia="Times New Roman" w:hAnsi="Times New Roman" w:cs="Times New Roman"/>
          <w:color w:val="000000"/>
          <w:sz w:val="24"/>
          <w:szCs w:val="24"/>
          <w:lang w:eastAsia="ru-RU"/>
        </w:rPr>
        <w:t>еверолімус (таблетки, капсули). Початкова доза для дорослих у разі трансплантації нирки та серця становить 0,75 мг двічі на добу (добове дозування становить 1,5 г).</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0" w:name="n41"/>
      <w:bookmarkEnd w:id="40"/>
      <w:r w:rsidRPr="00FC2A10">
        <w:rPr>
          <w:rFonts w:ascii="Times New Roman" w:eastAsia="Times New Roman" w:hAnsi="Times New Roman" w:cs="Times New Roman"/>
          <w:color w:val="000000"/>
          <w:sz w:val="24"/>
          <w:szCs w:val="24"/>
          <w:lang w:eastAsia="ru-RU"/>
        </w:rPr>
        <w:t>4. Препарати для профілактики та лікування гострого відторгнення трансплантата:</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1" w:name="n42"/>
      <w:bookmarkEnd w:id="41"/>
      <w:r w:rsidRPr="00FC2A10">
        <w:rPr>
          <w:rFonts w:ascii="Times New Roman" w:eastAsia="Times New Roman" w:hAnsi="Times New Roman" w:cs="Times New Roman"/>
          <w:color w:val="000000"/>
          <w:sz w:val="24"/>
          <w:szCs w:val="24"/>
          <w:lang w:eastAsia="ru-RU"/>
        </w:rPr>
        <w:t>базиліксімаб (ампули, флакони, шприц-тюбик). Застосовується для пацієнтів, які перенесли трансплантацію нирки. Рекомендоване дозування для дорослих становить по 20 мг двічі: перше застосування проводять за дві години до трансплантації, друге - на четвертий день після трансплантації. Усього дві дози на курс для одного хворого.</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2" w:name="n43"/>
      <w:bookmarkEnd w:id="42"/>
      <w:r w:rsidRPr="00FC2A10">
        <w:rPr>
          <w:rFonts w:ascii="Times New Roman" w:eastAsia="Times New Roman" w:hAnsi="Times New Roman" w:cs="Times New Roman"/>
          <w:color w:val="000000"/>
          <w:sz w:val="24"/>
          <w:szCs w:val="24"/>
          <w:lang w:eastAsia="ru-RU"/>
        </w:rPr>
        <w:t>Рекомендоване дозування для дітей від двох до п’ятнадцяти років становить по 12 мг/м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двічі, максимальне дозування - по 20 мг двічі. Препарат вводять за дві години до трансплантації та на четвертий день після трансплантації. Усього 2 дози на курс для одного хворого.</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3" w:name="n44"/>
      <w:bookmarkEnd w:id="43"/>
      <w:r w:rsidRPr="00FC2A10">
        <w:rPr>
          <w:rFonts w:ascii="Times New Roman" w:eastAsia="Times New Roman" w:hAnsi="Times New Roman" w:cs="Times New Roman"/>
          <w:color w:val="000000"/>
          <w:sz w:val="24"/>
          <w:szCs w:val="24"/>
          <w:lang w:eastAsia="ru-RU"/>
        </w:rPr>
        <w:t>Середня кількість базиліксімабу становить у розрахунку:</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44" w:name="n45"/>
      <w:bookmarkEnd w:id="44"/>
      <w:r w:rsidRPr="00FC2A10">
        <w:rPr>
          <w:rFonts w:ascii="Times New Roman" w:eastAsia="Times New Roman" w:hAnsi="Times New Roman" w:cs="Times New Roman"/>
          <w:color w:val="000000"/>
          <w:sz w:val="24"/>
          <w:szCs w:val="24"/>
          <w:lang w:eastAsia="ru-RU"/>
        </w:rPr>
        <w:t>С = Кількість трансплантацій нирки в Україні за минулий рік х 2,</w:t>
      </w:r>
    </w:p>
    <w:tbl>
      <w:tblPr>
        <w:tblW w:w="5000" w:type="pct"/>
        <w:tblCellMar>
          <w:left w:w="0" w:type="dxa"/>
          <w:right w:w="0" w:type="dxa"/>
        </w:tblCellMar>
        <w:tblLook w:val="04A0" w:firstRow="1" w:lastRow="0" w:firstColumn="1" w:lastColumn="0" w:noHBand="0" w:noVBand="1"/>
      </w:tblPr>
      <w:tblGrid>
        <w:gridCol w:w="417"/>
        <w:gridCol w:w="830"/>
        <w:gridCol w:w="168"/>
        <w:gridCol w:w="7934"/>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45" w:name="n46"/>
            <w:bookmarkEnd w:id="45"/>
            <w:r w:rsidRPr="00FC2A10">
              <w:rPr>
                <w:rFonts w:ascii="Times New Roman" w:eastAsia="Times New Roman" w:hAnsi="Times New Roman" w:cs="Times New Roman"/>
                <w:sz w:val="24"/>
                <w:szCs w:val="24"/>
                <w:lang w:eastAsia="ru-RU"/>
              </w:rPr>
              <w:t>де</w:t>
            </w: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ампул, флаконів, шприц-тюбиків базиліксимабу;</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необхідна кількість застосувань для одного пацієнта;</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6" w:name="n47"/>
      <w:bookmarkEnd w:id="46"/>
      <w:r w:rsidRPr="00FC2A10">
        <w:rPr>
          <w:rFonts w:ascii="Times New Roman" w:eastAsia="Times New Roman" w:hAnsi="Times New Roman" w:cs="Times New Roman"/>
          <w:color w:val="000000"/>
          <w:sz w:val="24"/>
          <w:szCs w:val="24"/>
          <w:lang w:eastAsia="ru-RU"/>
        </w:rPr>
        <w:t>імуноглобулін проти тимоцитів кролячий (ампули, флакони, шприц-тюбик). Рекомендоване дозування для профілактики гострого відторгнення нирки у дорослих та дітей становить 1,5 мг/кг протягом 4-7 днів.</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7" w:name="n48"/>
      <w:bookmarkEnd w:id="47"/>
      <w:r w:rsidRPr="00FC2A10">
        <w:rPr>
          <w:rFonts w:ascii="Times New Roman" w:eastAsia="Times New Roman" w:hAnsi="Times New Roman" w:cs="Times New Roman"/>
          <w:color w:val="000000"/>
          <w:sz w:val="24"/>
          <w:szCs w:val="24"/>
          <w:lang w:eastAsia="ru-RU"/>
        </w:rPr>
        <w:t>Рекомендоване дозування для лікування гострого відторгнення становить 1,5 мг/кг протягом 7-14 днів.</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48" w:name="n49"/>
      <w:bookmarkEnd w:id="48"/>
      <w:r w:rsidRPr="00FC2A10">
        <w:rPr>
          <w:rFonts w:ascii="Times New Roman" w:eastAsia="Times New Roman" w:hAnsi="Times New Roman" w:cs="Times New Roman"/>
          <w:color w:val="000000"/>
          <w:sz w:val="24"/>
          <w:szCs w:val="24"/>
          <w:lang w:eastAsia="ru-RU"/>
        </w:rPr>
        <w:t xml:space="preserve">Враховуючи той факт, що гостре відторгнення за літературними даними зустрічається у 30 % випадків, серед яких у 30 % реципієнтів зустрічається реакція гострого </w:t>
      </w:r>
      <w:r w:rsidRPr="00FC2A10">
        <w:rPr>
          <w:rFonts w:ascii="Times New Roman" w:eastAsia="Times New Roman" w:hAnsi="Times New Roman" w:cs="Times New Roman"/>
          <w:color w:val="000000"/>
          <w:sz w:val="24"/>
          <w:szCs w:val="24"/>
          <w:lang w:eastAsia="ru-RU"/>
        </w:rPr>
        <w:lastRenderedPageBreak/>
        <w:t>резистентного відторгнення трансплантата, середня кількість імуноглобуліну проти тимоцитів кролячого розраховується за формулою:</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49" w:name="n50"/>
      <w:bookmarkEnd w:id="49"/>
      <w:r w:rsidRPr="00FC2A10">
        <w:rPr>
          <w:rFonts w:ascii="Times New Roman" w:eastAsia="Times New Roman" w:hAnsi="Times New Roman" w:cs="Times New Roman"/>
          <w:color w:val="000000"/>
          <w:sz w:val="24"/>
          <w:szCs w:val="24"/>
          <w:lang w:eastAsia="ru-RU"/>
        </w:rPr>
        <w:t>С = Кількість трансплантацій нирки в Україні за минулий рік х 0,3 х 0,3 х Z/25,</w:t>
      </w:r>
    </w:p>
    <w:tbl>
      <w:tblPr>
        <w:tblW w:w="5000" w:type="pct"/>
        <w:tblCellMar>
          <w:left w:w="0" w:type="dxa"/>
          <w:right w:w="0" w:type="dxa"/>
        </w:tblCellMar>
        <w:tblLook w:val="04A0" w:firstRow="1" w:lastRow="0" w:firstColumn="1" w:lastColumn="0" w:noHBand="0" w:noVBand="1"/>
      </w:tblPr>
      <w:tblGrid>
        <w:gridCol w:w="412"/>
        <w:gridCol w:w="862"/>
        <w:gridCol w:w="166"/>
        <w:gridCol w:w="7909"/>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50" w:name="n51"/>
            <w:bookmarkEnd w:id="50"/>
            <w:r w:rsidRPr="00FC2A10">
              <w:rPr>
                <w:rFonts w:ascii="Times New Roman" w:eastAsia="Times New Roman" w:hAnsi="Times New Roman" w:cs="Times New Roman"/>
                <w:sz w:val="24"/>
                <w:szCs w:val="24"/>
                <w:lang w:eastAsia="ru-RU"/>
              </w:rPr>
              <w:t>де</w:t>
            </w: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0,3</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коефіцієнт розповсюдження гострого відторгнення трансплантата;</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0,3</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коефіцієнт розповсюдження резистентного до глюкокортикоїдної терапії гострого відторгнення трансплантата;</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Z</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імуноглобулінів проти тимоцитів кролячих для лікування одного випадку, яка становить 630 мг = 60 кг (вага пацієнта) х 1,5 мг/кг (дозування) х 7 днів (тривалість лікування);</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25</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мг в ампулі, флаконі, шприц-тюбику імуноглобуліну проти тимоцитів кролячого;</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імуноглобуліну проти тимоцитів кролячого у флаконах.</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1" w:name="n52"/>
      <w:bookmarkEnd w:id="51"/>
      <w:r w:rsidRPr="00FC2A10">
        <w:rPr>
          <w:rFonts w:ascii="Times New Roman" w:eastAsia="Times New Roman" w:hAnsi="Times New Roman" w:cs="Times New Roman"/>
          <w:color w:val="000000"/>
          <w:sz w:val="24"/>
          <w:szCs w:val="24"/>
          <w:lang w:eastAsia="ru-RU"/>
        </w:rPr>
        <w:t>5. Препарати для лікування цитомегаловірусної інфекції:</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2" w:name="n53"/>
      <w:bookmarkEnd w:id="52"/>
      <w:r w:rsidRPr="00FC2A10">
        <w:rPr>
          <w:rFonts w:ascii="Times New Roman" w:eastAsia="Times New Roman" w:hAnsi="Times New Roman" w:cs="Times New Roman"/>
          <w:color w:val="000000"/>
          <w:sz w:val="24"/>
          <w:szCs w:val="24"/>
          <w:lang w:eastAsia="ru-RU"/>
        </w:rPr>
        <w:t>валганцикловір (таблетки, капсули). Для профілактики цитомегаловірусної інфекції (ЦМВ) у дорослих із трансплантованим серцем, нирками, підшлунковою залозою початкова доза становить 900 мг (по 450 мг) протягом 10 днів до трансплантації та 100 днів після.</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3" w:name="n54"/>
      <w:bookmarkEnd w:id="53"/>
      <w:r w:rsidRPr="00FC2A10">
        <w:rPr>
          <w:rFonts w:ascii="Times New Roman" w:eastAsia="Times New Roman" w:hAnsi="Times New Roman" w:cs="Times New Roman"/>
          <w:color w:val="000000"/>
          <w:sz w:val="24"/>
          <w:szCs w:val="24"/>
          <w:lang w:eastAsia="ru-RU"/>
        </w:rPr>
        <w:t>Для профілактики ЦМВ у дорослих пацієнтів із нирковими трансплантатами доза становить 900 мг (2 таблетки по 450 мг) один раз на день, починаючи із 10 днів до трансплантації та продовжуючи терапію до 200 дня після трансплантації.</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4" w:name="n55"/>
      <w:bookmarkEnd w:id="54"/>
      <w:r w:rsidRPr="00FC2A10">
        <w:rPr>
          <w:rFonts w:ascii="Times New Roman" w:eastAsia="Times New Roman" w:hAnsi="Times New Roman" w:cs="Times New Roman"/>
          <w:color w:val="000000"/>
          <w:sz w:val="24"/>
          <w:szCs w:val="24"/>
          <w:lang w:eastAsia="ru-RU"/>
        </w:rPr>
        <w:t>Для профілактики ЦМВ у дітей (віком від 4 місяців до 16 років) із трансплантацією нирки застосовують одну дозу препарату на день, починаючи із 10 дня до трансплантації нирки та продовжуючи терапію протягом 200 днів після трансплантації відповідно до розрахованої кількості, використовуючи модифіковану формулу Шварца.</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5" w:name="n56"/>
      <w:bookmarkEnd w:id="55"/>
      <w:r w:rsidRPr="00FC2A10">
        <w:rPr>
          <w:rFonts w:ascii="Times New Roman" w:eastAsia="Times New Roman" w:hAnsi="Times New Roman" w:cs="Times New Roman"/>
          <w:color w:val="000000"/>
          <w:sz w:val="24"/>
          <w:szCs w:val="24"/>
          <w:lang w:eastAsia="ru-RU"/>
        </w:rPr>
        <w:t>Для профілактики ЦМВ у дітей (віком від 1 місяця до 16 років) після трансплантації серця застосовують одну дозу препарату на день, починаючи із 10 дня до трансплантації нирки та продовжуючи терапію протягом 100 днів після трансплантації відповідно до розрахованої кількості, використовуючи модифіковану формулу Шварца.</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6" w:name="n57"/>
      <w:bookmarkEnd w:id="56"/>
      <w:r w:rsidRPr="00FC2A10">
        <w:rPr>
          <w:rFonts w:ascii="Times New Roman" w:eastAsia="Times New Roman" w:hAnsi="Times New Roman" w:cs="Times New Roman"/>
          <w:color w:val="000000"/>
          <w:sz w:val="24"/>
          <w:szCs w:val="24"/>
          <w:lang w:eastAsia="ru-RU"/>
        </w:rPr>
        <w:t>Середня кількість валганцикловіру для прогнозованої кількості пацієнтів із трансплантацією нирки розраховується за формулою:</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57" w:name="n58"/>
      <w:bookmarkEnd w:id="57"/>
      <w:r w:rsidRPr="00FC2A10">
        <w:rPr>
          <w:rFonts w:ascii="Times New Roman" w:eastAsia="Times New Roman" w:hAnsi="Times New Roman" w:cs="Times New Roman"/>
          <w:color w:val="000000"/>
          <w:sz w:val="24"/>
          <w:szCs w:val="24"/>
          <w:lang w:eastAsia="ru-RU"/>
        </w:rPr>
        <w:t>С1 = Сн х 2 х 200 днів,</w:t>
      </w:r>
    </w:p>
    <w:tbl>
      <w:tblPr>
        <w:tblW w:w="5000" w:type="pct"/>
        <w:tblCellMar>
          <w:left w:w="0" w:type="dxa"/>
          <w:right w:w="0" w:type="dxa"/>
        </w:tblCellMar>
        <w:tblLook w:val="04A0" w:firstRow="1" w:lastRow="0" w:firstColumn="1" w:lastColumn="0" w:noHBand="0" w:noVBand="1"/>
      </w:tblPr>
      <w:tblGrid>
        <w:gridCol w:w="414"/>
        <w:gridCol w:w="889"/>
        <w:gridCol w:w="166"/>
        <w:gridCol w:w="7880"/>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58" w:name="n59"/>
            <w:bookmarkEnd w:id="58"/>
            <w:r w:rsidRPr="00FC2A10">
              <w:rPr>
                <w:rFonts w:ascii="Times New Roman" w:eastAsia="Times New Roman" w:hAnsi="Times New Roman" w:cs="Times New Roman"/>
                <w:sz w:val="24"/>
                <w:szCs w:val="24"/>
                <w:lang w:eastAsia="ru-RU"/>
              </w:rPr>
              <w:t>де</w:t>
            </w: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Сн</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ниркових трансплантацій у минулому році;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застосувань на день;</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200</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рекомендована кількість днів застосування;</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С1</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таблеток валганцикловіру для пацієнтів, яким буде проведено трансплантацію в наступному році.</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59" w:name="n60"/>
      <w:bookmarkEnd w:id="59"/>
      <w:r w:rsidRPr="00FC2A10">
        <w:rPr>
          <w:rFonts w:ascii="Times New Roman" w:eastAsia="Times New Roman" w:hAnsi="Times New Roman" w:cs="Times New Roman"/>
          <w:color w:val="000000"/>
          <w:sz w:val="24"/>
          <w:szCs w:val="24"/>
          <w:lang w:eastAsia="ru-RU"/>
        </w:rPr>
        <w:lastRenderedPageBreak/>
        <w:t>Середня кількість валганцикловіру для прогнозованої кількості пацієнтів із трансплантованою печінкою розраховується за формулою:</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0" w:name="n61"/>
      <w:bookmarkEnd w:id="60"/>
      <w:r w:rsidRPr="00FC2A10">
        <w:rPr>
          <w:rFonts w:ascii="Times New Roman" w:eastAsia="Times New Roman" w:hAnsi="Times New Roman" w:cs="Times New Roman"/>
          <w:color w:val="000000"/>
          <w:sz w:val="24"/>
          <w:szCs w:val="24"/>
          <w:lang w:eastAsia="ru-RU"/>
        </w:rPr>
        <w:t>С2 = Сп х 2 х 100 днів,</w:t>
      </w:r>
    </w:p>
    <w:tbl>
      <w:tblPr>
        <w:tblW w:w="5000" w:type="pct"/>
        <w:tblCellMar>
          <w:left w:w="0" w:type="dxa"/>
          <w:right w:w="0" w:type="dxa"/>
        </w:tblCellMar>
        <w:tblLook w:val="04A0" w:firstRow="1" w:lastRow="0" w:firstColumn="1" w:lastColumn="0" w:noHBand="0" w:noVBand="1"/>
      </w:tblPr>
      <w:tblGrid>
        <w:gridCol w:w="412"/>
        <w:gridCol w:w="883"/>
        <w:gridCol w:w="165"/>
        <w:gridCol w:w="7889"/>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61" w:name="n62"/>
            <w:bookmarkEnd w:id="61"/>
            <w:r w:rsidRPr="00FC2A10">
              <w:rPr>
                <w:rFonts w:ascii="Times New Roman" w:eastAsia="Times New Roman" w:hAnsi="Times New Roman" w:cs="Times New Roman"/>
                <w:sz w:val="24"/>
                <w:szCs w:val="24"/>
                <w:lang w:eastAsia="ru-RU"/>
              </w:rPr>
              <w:t>де</w:t>
            </w: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Сп</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пацієнтів із трансплантованою печінкою протягом минулого року;</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застосувань на день;</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100</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рекомендована кількість днів застосування;</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С2</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необхідна кількість таблеток валганцикловіру для пацієнтів, яких буде прооперовано в наступному році.</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2" w:name="n63"/>
      <w:bookmarkEnd w:id="62"/>
      <w:r w:rsidRPr="00FC2A10">
        <w:rPr>
          <w:rFonts w:ascii="Times New Roman" w:eastAsia="Times New Roman" w:hAnsi="Times New Roman" w:cs="Times New Roman"/>
          <w:color w:val="000000"/>
          <w:sz w:val="24"/>
          <w:szCs w:val="24"/>
          <w:lang w:eastAsia="ru-RU"/>
        </w:rPr>
        <w:t>Середня кількість лікарських засобів на нових пацієнтів розраховується за формулою:</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63" w:name="n64"/>
      <w:bookmarkEnd w:id="63"/>
      <w:r w:rsidRPr="00FC2A10">
        <w:rPr>
          <w:rFonts w:ascii="Times New Roman" w:eastAsia="Times New Roman" w:hAnsi="Times New Roman" w:cs="Times New Roman"/>
          <w:color w:val="000000"/>
          <w:sz w:val="24"/>
          <w:szCs w:val="24"/>
          <w:lang w:eastAsia="ru-RU"/>
        </w:rPr>
        <w:t>С загальне = С1 + С2,</w:t>
      </w:r>
    </w:p>
    <w:tbl>
      <w:tblPr>
        <w:tblW w:w="5000" w:type="pct"/>
        <w:tblCellMar>
          <w:left w:w="0" w:type="dxa"/>
          <w:right w:w="0" w:type="dxa"/>
        </w:tblCellMar>
        <w:tblLook w:val="04A0" w:firstRow="1" w:lastRow="0" w:firstColumn="1" w:lastColumn="0" w:noHBand="0" w:noVBand="1"/>
      </w:tblPr>
      <w:tblGrid>
        <w:gridCol w:w="407"/>
        <w:gridCol w:w="1437"/>
        <w:gridCol w:w="135"/>
        <w:gridCol w:w="7370"/>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64" w:name="n65"/>
            <w:bookmarkEnd w:id="64"/>
            <w:r w:rsidRPr="00FC2A10">
              <w:rPr>
                <w:rFonts w:ascii="Times New Roman" w:eastAsia="Times New Roman" w:hAnsi="Times New Roman" w:cs="Times New Roman"/>
                <w:sz w:val="24"/>
                <w:szCs w:val="24"/>
                <w:lang w:eastAsia="ru-RU"/>
              </w:rPr>
              <w:t>де</w:t>
            </w:r>
          </w:p>
        </w:tc>
        <w:tc>
          <w:tcPr>
            <w:tcW w:w="17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 загальне</w:t>
            </w:r>
          </w:p>
        </w:tc>
        <w:tc>
          <w:tcPr>
            <w:tcW w:w="16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0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загальна кількість валганцикловіру, яку потрібно замовити для пацієнтів, що будуть прооперовані в наступному році;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7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С1</w:t>
            </w:r>
          </w:p>
        </w:tc>
        <w:tc>
          <w:tcPr>
            <w:tcW w:w="16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0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потрібна кількість таблеток валганцикловіру для пацієнтів із трансплантованою ниркою за минулий рік;</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7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С2</w:t>
            </w:r>
          </w:p>
        </w:tc>
        <w:tc>
          <w:tcPr>
            <w:tcW w:w="16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0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потрібна кількість таблеток для пацієнтів із трансплантованою печінкою за минулий рік.</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5" w:name="n66"/>
      <w:bookmarkEnd w:id="65"/>
      <w:r w:rsidRPr="00FC2A10">
        <w:rPr>
          <w:rFonts w:ascii="Times New Roman" w:eastAsia="Times New Roman" w:hAnsi="Times New Roman" w:cs="Times New Roman"/>
          <w:color w:val="000000"/>
          <w:sz w:val="24"/>
          <w:szCs w:val="24"/>
          <w:lang w:eastAsia="ru-RU"/>
        </w:rPr>
        <w:t>Валганцикловір окремо розраховується для пацієнтів, які на момент збору заявки вже отримують профілактично або з лікувальною метою курс терапії.</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6" w:name="n67"/>
      <w:bookmarkEnd w:id="66"/>
      <w:r w:rsidRPr="00FC2A10">
        <w:rPr>
          <w:rFonts w:ascii="Times New Roman" w:eastAsia="Times New Roman" w:hAnsi="Times New Roman" w:cs="Times New Roman"/>
          <w:color w:val="000000"/>
          <w:sz w:val="24"/>
          <w:szCs w:val="24"/>
          <w:lang w:eastAsia="ru-RU"/>
        </w:rPr>
        <w:t>6. Потребу у циклоспорині, такролімусі, еверолімусі, мікофеноловій кислоті, мофетілі мікофенолату, азатіоприні та валганцикловірі розраховують адресно з урахуванням темпу приросту. Для розрахунку необхідної кількості валганцикловіру приріст програми враховувати не потрібно. Необхідна кількість валганцикловіру розраховується за формулою, наведеною вище.</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7" w:name="n68"/>
      <w:bookmarkEnd w:id="67"/>
      <w:r w:rsidRPr="00FC2A10">
        <w:rPr>
          <w:rFonts w:ascii="Times New Roman" w:eastAsia="Times New Roman" w:hAnsi="Times New Roman" w:cs="Times New Roman"/>
          <w:color w:val="000000"/>
          <w:sz w:val="24"/>
          <w:szCs w:val="24"/>
          <w:lang w:eastAsia="ru-RU"/>
        </w:rPr>
        <w:t>Темпи збільшення кількості пацієнтів, які перенесли трансплантацію, вираховують за формулою:</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8" w:name="n69"/>
      <w:bookmarkEnd w:id="68"/>
      <w:r w:rsidRPr="00FC2A10">
        <w:rPr>
          <w:rFonts w:ascii="Times New Roman" w:eastAsia="Times New Roman" w:hAnsi="Times New Roman" w:cs="Times New Roman"/>
          <w:color w:val="000000"/>
          <w:sz w:val="24"/>
          <w:szCs w:val="24"/>
          <w:lang w:eastAsia="ru-RU"/>
        </w:rPr>
        <w:t>((Кількість пацієнтів, які отримували терапію у попередньому році) - (Кількість пацієнтів, які отримували терапію за рік до того)) / (Кількість пацієнтів, які отримували терапію за рік до того) + 1.</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69" w:name="n70"/>
      <w:bookmarkEnd w:id="69"/>
      <w:r w:rsidRPr="00FC2A10">
        <w:rPr>
          <w:rFonts w:ascii="Times New Roman" w:eastAsia="Times New Roman" w:hAnsi="Times New Roman" w:cs="Times New Roman"/>
          <w:color w:val="000000"/>
          <w:sz w:val="24"/>
          <w:szCs w:val="24"/>
          <w:lang w:eastAsia="ru-RU"/>
        </w:rPr>
        <w:t>Від’ємні темпи приросту не потрібно враховувати.</w:t>
      </w:r>
    </w:p>
    <w:p w:rsidR="00FC2A10" w:rsidRPr="00FC2A10" w:rsidRDefault="00FC2A10" w:rsidP="00FC2A10">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70" w:name="n71"/>
      <w:bookmarkEnd w:id="70"/>
      <w:r w:rsidRPr="00FC2A10">
        <w:rPr>
          <w:rFonts w:ascii="Times New Roman" w:eastAsia="Times New Roman" w:hAnsi="Times New Roman" w:cs="Times New Roman"/>
          <w:b/>
          <w:bCs/>
          <w:color w:val="000000"/>
          <w:sz w:val="28"/>
          <w:szCs w:val="28"/>
          <w:lang w:eastAsia="ru-RU"/>
        </w:rPr>
        <w:t xml:space="preserve">III. Розрахунок кількості медичних виробів для хворих у </w:t>
      </w:r>
      <w:proofErr w:type="gramStart"/>
      <w:r w:rsidRPr="00FC2A10">
        <w:rPr>
          <w:rFonts w:ascii="Times New Roman" w:eastAsia="Times New Roman" w:hAnsi="Times New Roman" w:cs="Times New Roman"/>
          <w:b/>
          <w:bCs/>
          <w:color w:val="000000"/>
          <w:sz w:val="28"/>
          <w:szCs w:val="28"/>
          <w:lang w:eastAsia="ru-RU"/>
        </w:rPr>
        <w:t>до- та</w:t>
      </w:r>
      <w:proofErr w:type="gramEnd"/>
      <w:r w:rsidRPr="00FC2A10">
        <w:rPr>
          <w:rFonts w:ascii="Times New Roman" w:eastAsia="Times New Roman" w:hAnsi="Times New Roman" w:cs="Times New Roman"/>
          <w:b/>
          <w:bCs/>
          <w:color w:val="000000"/>
          <w:sz w:val="28"/>
          <w:szCs w:val="28"/>
          <w:lang w:eastAsia="ru-RU"/>
        </w:rPr>
        <w:t xml:space="preserve"> післяопераційний період з трансплантації</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1" w:name="n72"/>
      <w:bookmarkEnd w:id="71"/>
      <w:r w:rsidRPr="00FC2A10">
        <w:rPr>
          <w:rFonts w:ascii="Times New Roman" w:eastAsia="Times New Roman" w:hAnsi="Times New Roman" w:cs="Times New Roman"/>
          <w:color w:val="000000"/>
          <w:sz w:val="24"/>
          <w:szCs w:val="24"/>
          <w:lang w:eastAsia="ru-RU"/>
        </w:rPr>
        <w:t>1. Інгібітори кальциневрину потребують визначення концентрації препарату у крові. З метою моніторингу групи пацієнтів за державною програмою закуповують діагностичні набори для визначення концентрації такролімусу та циклоспорину у крові.</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2" w:name="n73"/>
      <w:bookmarkEnd w:id="72"/>
      <w:r w:rsidRPr="00FC2A10">
        <w:rPr>
          <w:rFonts w:ascii="Times New Roman" w:eastAsia="Times New Roman" w:hAnsi="Times New Roman" w:cs="Times New Roman"/>
          <w:color w:val="000000"/>
          <w:sz w:val="24"/>
          <w:szCs w:val="24"/>
          <w:lang w:eastAsia="ru-RU"/>
        </w:rPr>
        <w:t>2. Спостереження за пацієнтами з трансплантованими органами здійснюється згідно з Довідкою щодо спостереження за пацієнтами з трансплантованими органами (додаток).</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3" w:name="n74"/>
      <w:bookmarkEnd w:id="73"/>
      <w:r w:rsidRPr="00FC2A10">
        <w:rPr>
          <w:rFonts w:ascii="Times New Roman" w:eastAsia="Times New Roman" w:hAnsi="Times New Roman" w:cs="Times New Roman"/>
          <w:color w:val="000000"/>
          <w:sz w:val="24"/>
          <w:szCs w:val="24"/>
          <w:lang w:eastAsia="ru-RU"/>
        </w:rPr>
        <w:t>3. Діагностичні набори для визначення концентрації циклоспорину А:</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4" w:name="n75"/>
      <w:bookmarkEnd w:id="74"/>
      <w:r w:rsidRPr="00FC2A10">
        <w:rPr>
          <w:rFonts w:ascii="Times New Roman" w:eastAsia="Times New Roman" w:hAnsi="Times New Roman" w:cs="Times New Roman"/>
          <w:color w:val="000000"/>
          <w:sz w:val="24"/>
          <w:szCs w:val="24"/>
          <w:lang w:eastAsia="ru-RU"/>
        </w:rPr>
        <w:lastRenderedPageBreak/>
        <w:t xml:space="preserve">1) необхідна кількість тестувань для визначення концентрації циклоспорину </w:t>
      </w:r>
      <w:proofErr w:type="gramStart"/>
      <w:r w:rsidRPr="00FC2A10">
        <w:rPr>
          <w:rFonts w:ascii="Times New Roman" w:eastAsia="Times New Roman" w:hAnsi="Times New Roman" w:cs="Times New Roman"/>
          <w:color w:val="000000"/>
          <w:sz w:val="24"/>
          <w:szCs w:val="24"/>
          <w:lang w:eastAsia="ru-RU"/>
        </w:rPr>
        <w:t>А</w:t>
      </w:r>
      <w:proofErr w:type="gramEnd"/>
      <w:r w:rsidRPr="00FC2A10">
        <w:rPr>
          <w:rFonts w:ascii="Times New Roman" w:eastAsia="Times New Roman" w:hAnsi="Times New Roman" w:cs="Times New Roman"/>
          <w:color w:val="000000"/>
          <w:sz w:val="24"/>
          <w:szCs w:val="24"/>
          <w:lang w:eastAsia="ru-RU"/>
        </w:rPr>
        <w:t xml:space="preserve"> у дорослих, яким провели трансплантацію протягом останніх трьох місяців у попередньому до звітного року періоді,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75" w:name="n76"/>
      <w:bookmarkEnd w:id="75"/>
      <w:r w:rsidRPr="00FC2A10">
        <w:rPr>
          <w:rFonts w:ascii="Times New Roman" w:eastAsia="Times New Roman" w:hAnsi="Times New Roman" w:cs="Times New Roman"/>
          <w:color w:val="000000"/>
          <w:sz w:val="24"/>
          <w:szCs w:val="24"/>
          <w:lang w:eastAsia="ru-RU"/>
        </w:rPr>
        <w:t>C1 = A х 10 х 2,</w:t>
      </w:r>
    </w:p>
    <w:tbl>
      <w:tblPr>
        <w:tblW w:w="5000" w:type="pct"/>
        <w:tblCellMar>
          <w:left w:w="0" w:type="dxa"/>
          <w:right w:w="0" w:type="dxa"/>
        </w:tblCellMar>
        <w:tblLook w:val="04A0" w:firstRow="1" w:lastRow="0" w:firstColumn="1" w:lastColumn="0" w:noHBand="0" w:noVBand="1"/>
      </w:tblPr>
      <w:tblGrid>
        <w:gridCol w:w="414"/>
        <w:gridCol w:w="866"/>
        <w:gridCol w:w="167"/>
        <w:gridCol w:w="7902"/>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76" w:name="n77"/>
            <w:bookmarkEnd w:id="76"/>
            <w:r w:rsidRPr="00FC2A10">
              <w:rPr>
                <w:rFonts w:ascii="Times New Roman" w:eastAsia="Times New Roman" w:hAnsi="Times New Roman" w:cs="Times New Roman"/>
                <w:sz w:val="24"/>
                <w:szCs w:val="24"/>
                <w:lang w:eastAsia="ru-RU"/>
              </w:rPr>
              <w:t>де</w:t>
            </w: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А</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пацієнтів, яким провели трансплантацію протягом останніх трьох місяців у попередньому до звітного року періоді;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10</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досліджень для визначення стабільної концентрації для пацієнтів, яким провели трансплантацію протягом останніх трьох місяців;</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тестувань на одне визначення концентрації (С0, С2);</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С1</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77" w:name="n78"/>
      <w:bookmarkEnd w:id="77"/>
      <w:r w:rsidRPr="00FC2A10">
        <w:rPr>
          <w:rFonts w:ascii="Times New Roman" w:eastAsia="Times New Roman" w:hAnsi="Times New Roman" w:cs="Times New Roman"/>
          <w:color w:val="000000"/>
          <w:sz w:val="24"/>
          <w:szCs w:val="24"/>
          <w:lang w:eastAsia="ru-RU"/>
        </w:rPr>
        <w:t xml:space="preserve">2) необхідна кількість тестувань для визначення концентрації циклоспорину </w:t>
      </w:r>
      <w:proofErr w:type="gramStart"/>
      <w:r w:rsidRPr="00FC2A10">
        <w:rPr>
          <w:rFonts w:ascii="Times New Roman" w:eastAsia="Times New Roman" w:hAnsi="Times New Roman" w:cs="Times New Roman"/>
          <w:color w:val="000000"/>
          <w:sz w:val="24"/>
          <w:szCs w:val="24"/>
          <w:lang w:eastAsia="ru-RU"/>
        </w:rPr>
        <w:t>А</w:t>
      </w:r>
      <w:proofErr w:type="gramEnd"/>
      <w:r w:rsidRPr="00FC2A10">
        <w:rPr>
          <w:rFonts w:ascii="Times New Roman" w:eastAsia="Times New Roman" w:hAnsi="Times New Roman" w:cs="Times New Roman"/>
          <w:color w:val="000000"/>
          <w:sz w:val="24"/>
          <w:szCs w:val="24"/>
          <w:lang w:eastAsia="ru-RU"/>
        </w:rPr>
        <w:t xml:space="preserve"> у дітей, яким провели трансплантацію протягом останніх трьох місяців у попередньому до звітного року періоді,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78" w:name="n79"/>
      <w:bookmarkEnd w:id="78"/>
      <w:r w:rsidRPr="00FC2A10">
        <w:rPr>
          <w:rFonts w:ascii="Times New Roman" w:eastAsia="Times New Roman" w:hAnsi="Times New Roman" w:cs="Times New Roman"/>
          <w:color w:val="000000"/>
          <w:sz w:val="24"/>
          <w:szCs w:val="24"/>
          <w:lang w:eastAsia="ru-RU"/>
        </w:rPr>
        <w:t>C1 діт. = A діт. х 20 х 2,</w:t>
      </w:r>
    </w:p>
    <w:tbl>
      <w:tblPr>
        <w:tblW w:w="5000" w:type="pct"/>
        <w:tblCellMar>
          <w:left w:w="0" w:type="dxa"/>
          <w:right w:w="0" w:type="dxa"/>
        </w:tblCellMar>
        <w:tblLook w:val="04A0" w:firstRow="1" w:lastRow="0" w:firstColumn="1" w:lastColumn="0" w:noHBand="0" w:noVBand="1"/>
      </w:tblPr>
      <w:tblGrid>
        <w:gridCol w:w="414"/>
        <w:gridCol w:w="1003"/>
        <w:gridCol w:w="85"/>
        <w:gridCol w:w="7847"/>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79" w:name="n80"/>
            <w:bookmarkEnd w:id="79"/>
            <w:r w:rsidRPr="00FC2A10">
              <w:rPr>
                <w:rFonts w:ascii="Times New Roman" w:eastAsia="Times New Roman" w:hAnsi="Times New Roman" w:cs="Times New Roman"/>
                <w:sz w:val="24"/>
                <w:szCs w:val="24"/>
                <w:lang w:eastAsia="ru-RU"/>
              </w:rPr>
              <w:t>де</w:t>
            </w:r>
          </w:p>
        </w:tc>
        <w:tc>
          <w:tcPr>
            <w:tcW w:w="135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A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дітей, яким провели трансплантацію протягом останніх 2-3 місяців у попередньому до звітного року періоді;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35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20</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досліджень для визначення стабільної концентрації для пацієнтів, яким провели трансплантацію протягом останніх трьох місяців;</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35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тестувань на одне визначення концентрації (С0, С2);</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35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С1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0" w:name="n81"/>
      <w:bookmarkEnd w:id="80"/>
      <w:r w:rsidRPr="00FC2A10">
        <w:rPr>
          <w:rFonts w:ascii="Times New Roman" w:eastAsia="Times New Roman" w:hAnsi="Times New Roman" w:cs="Times New Roman"/>
          <w:color w:val="000000"/>
          <w:sz w:val="24"/>
          <w:szCs w:val="24"/>
          <w:lang w:eastAsia="ru-RU"/>
        </w:rPr>
        <w:t xml:space="preserve">3) необхідна кількість тестувань для визначення концентрації циклоспорину </w:t>
      </w:r>
      <w:proofErr w:type="gramStart"/>
      <w:r w:rsidRPr="00FC2A10">
        <w:rPr>
          <w:rFonts w:ascii="Times New Roman" w:eastAsia="Times New Roman" w:hAnsi="Times New Roman" w:cs="Times New Roman"/>
          <w:color w:val="000000"/>
          <w:sz w:val="24"/>
          <w:szCs w:val="24"/>
          <w:lang w:eastAsia="ru-RU"/>
        </w:rPr>
        <w:t>А</w:t>
      </w:r>
      <w:proofErr w:type="gramEnd"/>
      <w:r w:rsidRPr="00FC2A10">
        <w:rPr>
          <w:rFonts w:ascii="Times New Roman" w:eastAsia="Times New Roman" w:hAnsi="Times New Roman" w:cs="Times New Roman"/>
          <w:color w:val="000000"/>
          <w:sz w:val="24"/>
          <w:szCs w:val="24"/>
          <w:lang w:eastAsia="ru-RU"/>
        </w:rPr>
        <w:t xml:space="preserve"> у дорослих, яким провели трансплантацію більше ніж один рік тому,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1" w:name="n82"/>
      <w:bookmarkEnd w:id="81"/>
      <w:r w:rsidRPr="00FC2A10">
        <w:rPr>
          <w:rFonts w:ascii="Times New Roman" w:eastAsia="Times New Roman" w:hAnsi="Times New Roman" w:cs="Times New Roman"/>
          <w:color w:val="000000"/>
          <w:sz w:val="24"/>
          <w:szCs w:val="24"/>
          <w:lang w:eastAsia="ru-RU"/>
        </w:rPr>
        <w:t>C2 = B х 4 х 2,</w:t>
      </w:r>
    </w:p>
    <w:tbl>
      <w:tblPr>
        <w:tblW w:w="5000" w:type="pct"/>
        <w:tblCellMar>
          <w:left w:w="0" w:type="dxa"/>
          <w:right w:w="0" w:type="dxa"/>
        </w:tblCellMar>
        <w:tblLook w:val="04A0" w:firstRow="1" w:lastRow="0" w:firstColumn="1" w:lastColumn="0" w:noHBand="0" w:noVBand="1"/>
      </w:tblPr>
      <w:tblGrid>
        <w:gridCol w:w="414"/>
        <w:gridCol w:w="866"/>
        <w:gridCol w:w="167"/>
        <w:gridCol w:w="7902"/>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82" w:name="n83"/>
            <w:bookmarkEnd w:id="82"/>
            <w:r w:rsidRPr="00FC2A10">
              <w:rPr>
                <w:rFonts w:ascii="Times New Roman" w:eastAsia="Times New Roman" w:hAnsi="Times New Roman" w:cs="Times New Roman"/>
                <w:sz w:val="24"/>
                <w:szCs w:val="24"/>
                <w:lang w:eastAsia="ru-RU"/>
              </w:rPr>
              <w:t>де</w:t>
            </w: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B</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дорослих, які отримують циклоспорин А та яким провели трансплантацію більше ніж один рік тому;</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тестувань на одне визначення концентрації (С0, С2);</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4</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тестувань для визначення концентрації;</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17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С2</w:t>
            </w:r>
          </w:p>
        </w:tc>
        <w:tc>
          <w:tcPr>
            <w:tcW w:w="2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3" w:name="n84"/>
      <w:bookmarkEnd w:id="83"/>
      <w:r w:rsidRPr="00FC2A10">
        <w:rPr>
          <w:rFonts w:ascii="Times New Roman" w:eastAsia="Times New Roman" w:hAnsi="Times New Roman" w:cs="Times New Roman"/>
          <w:color w:val="000000"/>
          <w:sz w:val="24"/>
          <w:szCs w:val="24"/>
          <w:lang w:eastAsia="ru-RU"/>
        </w:rPr>
        <w:t xml:space="preserve">4) необхідна кількість тестувань для визначення концентрації циклоспорину </w:t>
      </w:r>
      <w:proofErr w:type="gramStart"/>
      <w:r w:rsidRPr="00FC2A10">
        <w:rPr>
          <w:rFonts w:ascii="Times New Roman" w:eastAsia="Times New Roman" w:hAnsi="Times New Roman" w:cs="Times New Roman"/>
          <w:color w:val="000000"/>
          <w:sz w:val="24"/>
          <w:szCs w:val="24"/>
          <w:lang w:eastAsia="ru-RU"/>
        </w:rPr>
        <w:t>А</w:t>
      </w:r>
      <w:proofErr w:type="gramEnd"/>
      <w:r w:rsidRPr="00FC2A10">
        <w:rPr>
          <w:rFonts w:ascii="Times New Roman" w:eastAsia="Times New Roman" w:hAnsi="Times New Roman" w:cs="Times New Roman"/>
          <w:color w:val="000000"/>
          <w:sz w:val="24"/>
          <w:szCs w:val="24"/>
          <w:lang w:eastAsia="ru-RU"/>
        </w:rPr>
        <w:t xml:space="preserve"> у дітей, яким провели трансплантацію більше ніж один рік тому,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4" w:name="n85"/>
      <w:bookmarkEnd w:id="84"/>
      <w:r w:rsidRPr="00FC2A10">
        <w:rPr>
          <w:rFonts w:ascii="Times New Roman" w:eastAsia="Times New Roman" w:hAnsi="Times New Roman" w:cs="Times New Roman"/>
          <w:color w:val="000000"/>
          <w:sz w:val="24"/>
          <w:szCs w:val="24"/>
          <w:lang w:eastAsia="ru-RU"/>
        </w:rPr>
        <w:t>C2 діт. = B діт. х 12 х 2,</w:t>
      </w:r>
    </w:p>
    <w:tbl>
      <w:tblPr>
        <w:tblW w:w="5000" w:type="pct"/>
        <w:tblCellMar>
          <w:left w:w="0" w:type="dxa"/>
          <w:right w:w="0" w:type="dxa"/>
        </w:tblCellMar>
        <w:tblLook w:val="04A0" w:firstRow="1" w:lastRow="0" w:firstColumn="1" w:lastColumn="0" w:noHBand="0" w:noVBand="1"/>
      </w:tblPr>
      <w:tblGrid>
        <w:gridCol w:w="409"/>
        <w:gridCol w:w="1150"/>
        <w:gridCol w:w="85"/>
        <w:gridCol w:w="7705"/>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85" w:name="n86"/>
            <w:bookmarkEnd w:id="85"/>
            <w:r w:rsidRPr="00FC2A10">
              <w:rPr>
                <w:rFonts w:ascii="Times New Roman" w:eastAsia="Times New Roman" w:hAnsi="Times New Roman" w:cs="Times New Roman"/>
                <w:sz w:val="24"/>
                <w:szCs w:val="24"/>
                <w:lang w:eastAsia="ru-RU"/>
              </w:rPr>
              <w:lastRenderedPageBreak/>
              <w:t>де</w:t>
            </w:r>
          </w:p>
        </w:tc>
        <w:tc>
          <w:tcPr>
            <w:tcW w:w="1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B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дітей, які отримують циклоспорин А та яким провели трансплантацію більше ніж один рік тому;</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тестувань на одне визначення концентрації (С0, С2);</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тестувань для визначення концентрації;</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С2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6" w:name="n87"/>
      <w:bookmarkEnd w:id="86"/>
      <w:r w:rsidRPr="00FC2A10">
        <w:rPr>
          <w:rFonts w:ascii="Times New Roman" w:eastAsia="Times New Roman" w:hAnsi="Times New Roman" w:cs="Times New Roman"/>
          <w:color w:val="000000"/>
          <w:sz w:val="24"/>
          <w:szCs w:val="24"/>
          <w:lang w:eastAsia="ru-RU"/>
        </w:rPr>
        <w:t xml:space="preserve">5) необхідна кількість діагностичних тестувань для визначення концентрації циклоспорину </w:t>
      </w:r>
      <w:proofErr w:type="gramStart"/>
      <w:r w:rsidRPr="00FC2A10">
        <w:rPr>
          <w:rFonts w:ascii="Times New Roman" w:eastAsia="Times New Roman" w:hAnsi="Times New Roman" w:cs="Times New Roman"/>
          <w:color w:val="000000"/>
          <w:sz w:val="24"/>
          <w:szCs w:val="24"/>
          <w:lang w:eastAsia="ru-RU"/>
        </w:rPr>
        <w:t>А</w:t>
      </w:r>
      <w:proofErr w:type="gramEnd"/>
      <w:r w:rsidRPr="00FC2A10">
        <w:rPr>
          <w:rFonts w:ascii="Times New Roman" w:eastAsia="Times New Roman" w:hAnsi="Times New Roman" w:cs="Times New Roman"/>
          <w:color w:val="000000"/>
          <w:sz w:val="24"/>
          <w:szCs w:val="24"/>
          <w:lang w:eastAsia="ru-RU"/>
        </w:rPr>
        <w:t xml:space="preserve"> у дорослих, яким буде проведена трансплантація у звітному році,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87" w:name="n88"/>
      <w:bookmarkEnd w:id="87"/>
      <w:r w:rsidRPr="00FC2A10">
        <w:rPr>
          <w:rFonts w:ascii="Times New Roman" w:eastAsia="Times New Roman" w:hAnsi="Times New Roman" w:cs="Times New Roman"/>
          <w:color w:val="000000"/>
          <w:sz w:val="24"/>
          <w:szCs w:val="24"/>
          <w:lang w:eastAsia="ru-RU"/>
        </w:rPr>
        <w:t>C3 = D/2 х 30 х 2,</w:t>
      </w:r>
    </w:p>
    <w:tbl>
      <w:tblPr>
        <w:tblW w:w="5000" w:type="pct"/>
        <w:tblCellMar>
          <w:left w:w="0" w:type="dxa"/>
          <w:right w:w="0" w:type="dxa"/>
        </w:tblCellMar>
        <w:tblLook w:val="04A0" w:firstRow="1" w:lastRow="0" w:firstColumn="1" w:lastColumn="0" w:noHBand="0" w:noVBand="1"/>
      </w:tblPr>
      <w:tblGrid>
        <w:gridCol w:w="409"/>
        <w:gridCol w:w="1152"/>
        <w:gridCol w:w="85"/>
        <w:gridCol w:w="7703"/>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88" w:name="n89"/>
            <w:bookmarkEnd w:id="88"/>
            <w:r w:rsidRPr="00FC2A10">
              <w:rPr>
                <w:rFonts w:ascii="Times New Roman" w:eastAsia="Times New Roman" w:hAnsi="Times New Roman" w:cs="Times New Roman"/>
                <w:sz w:val="24"/>
                <w:szCs w:val="24"/>
                <w:lang w:eastAsia="ru-RU"/>
              </w:rPr>
              <w:t>де</w:t>
            </w:r>
          </w:p>
        </w:tc>
        <w:tc>
          <w:tcPr>
            <w:tcW w:w="1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D/2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дорослих пацієнтів, яким трансплантацію провели в Україні за попередній рік, розділена навпіл, оскільки орієнтовно тільки половина прийматиме циклоспорин А;</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30</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досліджень для визначення стабільної концентрації для пацієнтів, яким буде проведена трансплантація у звітному році;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тестувань на одне визначення концентрації (С0, С2);</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60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С3</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89" w:name="n90"/>
      <w:bookmarkEnd w:id="89"/>
      <w:r w:rsidRPr="00FC2A10">
        <w:rPr>
          <w:rFonts w:ascii="Times New Roman" w:eastAsia="Times New Roman" w:hAnsi="Times New Roman" w:cs="Times New Roman"/>
          <w:color w:val="000000"/>
          <w:sz w:val="24"/>
          <w:szCs w:val="24"/>
          <w:lang w:eastAsia="ru-RU"/>
        </w:rPr>
        <w:t xml:space="preserve">6) необхідна кількість діагностичних тестувань для визначення концентрації циклоспорину </w:t>
      </w:r>
      <w:proofErr w:type="gramStart"/>
      <w:r w:rsidRPr="00FC2A10">
        <w:rPr>
          <w:rFonts w:ascii="Times New Roman" w:eastAsia="Times New Roman" w:hAnsi="Times New Roman" w:cs="Times New Roman"/>
          <w:color w:val="000000"/>
          <w:sz w:val="24"/>
          <w:szCs w:val="24"/>
          <w:lang w:eastAsia="ru-RU"/>
        </w:rPr>
        <w:t>А</w:t>
      </w:r>
      <w:proofErr w:type="gramEnd"/>
      <w:r w:rsidRPr="00FC2A10">
        <w:rPr>
          <w:rFonts w:ascii="Times New Roman" w:eastAsia="Times New Roman" w:hAnsi="Times New Roman" w:cs="Times New Roman"/>
          <w:color w:val="000000"/>
          <w:sz w:val="24"/>
          <w:szCs w:val="24"/>
          <w:lang w:eastAsia="ru-RU"/>
        </w:rPr>
        <w:t xml:space="preserve"> у дітей, яким буде проведена трансплантація у звітному році,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0" w:name="n91"/>
      <w:bookmarkEnd w:id="90"/>
      <w:r w:rsidRPr="00FC2A10">
        <w:rPr>
          <w:rFonts w:ascii="Times New Roman" w:eastAsia="Times New Roman" w:hAnsi="Times New Roman" w:cs="Times New Roman"/>
          <w:color w:val="000000"/>
          <w:sz w:val="24"/>
          <w:szCs w:val="24"/>
          <w:lang w:eastAsia="ru-RU"/>
        </w:rPr>
        <w:t xml:space="preserve">C3 = D </w:t>
      </w:r>
      <w:proofErr w:type="gramStart"/>
      <w:r w:rsidRPr="00FC2A10">
        <w:rPr>
          <w:rFonts w:ascii="Times New Roman" w:eastAsia="Times New Roman" w:hAnsi="Times New Roman" w:cs="Times New Roman"/>
          <w:color w:val="000000"/>
          <w:sz w:val="24"/>
          <w:szCs w:val="24"/>
          <w:lang w:eastAsia="ru-RU"/>
        </w:rPr>
        <w:t>діт./</w:t>
      </w:r>
      <w:proofErr w:type="gramEnd"/>
      <w:r w:rsidRPr="00FC2A10">
        <w:rPr>
          <w:rFonts w:ascii="Times New Roman" w:eastAsia="Times New Roman" w:hAnsi="Times New Roman" w:cs="Times New Roman"/>
          <w:color w:val="000000"/>
          <w:sz w:val="24"/>
          <w:szCs w:val="24"/>
          <w:lang w:eastAsia="ru-RU"/>
        </w:rPr>
        <w:t>2 х 33 х 2,</w:t>
      </w:r>
    </w:p>
    <w:tbl>
      <w:tblPr>
        <w:tblW w:w="5000" w:type="pct"/>
        <w:tblCellMar>
          <w:left w:w="0" w:type="dxa"/>
          <w:right w:w="0" w:type="dxa"/>
        </w:tblCellMar>
        <w:tblLook w:val="04A0" w:firstRow="1" w:lastRow="0" w:firstColumn="1" w:lastColumn="0" w:noHBand="0" w:noVBand="1"/>
      </w:tblPr>
      <w:tblGrid>
        <w:gridCol w:w="408"/>
        <w:gridCol w:w="1223"/>
        <w:gridCol w:w="85"/>
        <w:gridCol w:w="7633"/>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91" w:name="n92"/>
            <w:bookmarkEnd w:id="91"/>
            <w:r w:rsidRPr="00FC2A10">
              <w:rPr>
                <w:rFonts w:ascii="Times New Roman" w:eastAsia="Times New Roman" w:hAnsi="Times New Roman" w:cs="Times New Roman"/>
                <w:sz w:val="24"/>
                <w:szCs w:val="24"/>
                <w:lang w:eastAsia="ru-RU"/>
              </w:rPr>
              <w:t>де</w:t>
            </w:r>
          </w:p>
        </w:tc>
        <w:tc>
          <w:tcPr>
            <w:tcW w:w="162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D діт./2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дітей, прооперованих за попередній рік, розділена навпіл, оскільки орієнтовно тільки половина прийматиме циклоспорин А;</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62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33</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досліджень для визначення стабільної концентрації для пацієнтів, яким буде проведена трансплантація у звітному році;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62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тестувань на одне визначення концентрації (С0, С2);</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62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С3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19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2" w:name="n93"/>
      <w:bookmarkEnd w:id="92"/>
      <w:r w:rsidRPr="00FC2A10">
        <w:rPr>
          <w:rFonts w:ascii="Times New Roman" w:eastAsia="Times New Roman" w:hAnsi="Times New Roman" w:cs="Times New Roman"/>
          <w:color w:val="000000"/>
          <w:sz w:val="24"/>
          <w:szCs w:val="24"/>
          <w:lang w:eastAsia="ru-RU"/>
        </w:rPr>
        <w:t>7) для розрахунку загальної потреби у діагностичних наборах потрібно додати кількість тестувань, яка необхідна кожній із наведених вище груп, та розділити на 100 відповідно до кількості тест-наборів, які закуповуються в одному наборі:</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3" w:name="n94"/>
      <w:bookmarkEnd w:id="93"/>
      <w:r w:rsidRPr="00FC2A10">
        <w:rPr>
          <w:rFonts w:ascii="Times New Roman" w:eastAsia="Times New Roman" w:hAnsi="Times New Roman" w:cs="Times New Roman"/>
          <w:color w:val="000000"/>
          <w:sz w:val="24"/>
          <w:szCs w:val="24"/>
          <w:lang w:eastAsia="ru-RU"/>
        </w:rPr>
        <w:t>С = ((С1 + С2 + С3) + (С1 діт. + С2 діт. + С3 діт.)) / 100,</w:t>
      </w:r>
    </w:p>
    <w:tbl>
      <w:tblPr>
        <w:tblW w:w="5000" w:type="pct"/>
        <w:tblCellMar>
          <w:left w:w="0" w:type="dxa"/>
          <w:right w:w="0" w:type="dxa"/>
        </w:tblCellMar>
        <w:tblLook w:val="04A0" w:firstRow="1" w:lastRow="0" w:firstColumn="1" w:lastColumn="0" w:noHBand="0" w:noVBand="1"/>
      </w:tblPr>
      <w:tblGrid>
        <w:gridCol w:w="502"/>
        <w:gridCol w:w="3088"/>
        <w:gridCol w:w="221"/>
        <w:gridCol w:w="5538"/>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94" w:name="n95"/>
            <w:bookmarkEnd w:id="94"/>
            <w:r w:rsidRPr="00FC2A10">
              <w:rPr>
                <w:rFonts w:ascii="Times New Roman" w:eastAsia="Times New Roman" w:hAnsi="Times New Roman" w:cs="Times New Roman"/>
                <w:sz w:val="24"/>
                <w:szCs w:val="24"/>
                <w:lang w:eastAsia="ru-RU"/>
              </w:rPr>
              <w:t>де</w:t>
            </w:r>
          </w:p>
        </w:tc>
        <w:tc>
          <w:tcPr>
            <w:tcW w:w="316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де (С1 + С2 + С3)</w:t>
            </w:r>
          </w:p>
        </w:tc>
        <w:tc>
          <w:tcPr>
            <w:tcW w:w="22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565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загальна кількість тестувань у дорослих;</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316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(С1 діт. + С2 діт. + С3 діт.)</w:t>
            </w:r>
          </w:p>
        </w:tc>
        <w:tc>
          <w:tcPr>
            <w:tcW w:w="22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565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загальна кількість тестувань у дітей;</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316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100</w:t>
            </w:r>
          </w:p>
        </w:tc>
        <w:tc>
          <w:tcPr>
            <w:tcW w:w="22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565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тестів у одному наборі;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316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w:t>
            </w:r>
          </w:p>
        </w:tc>
        <w:tc>
          <w:tcPr>
            <w:tcW w:w="22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565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загальна потреба в діагностичних наборах для визначення концентрації циклоспорину.</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5" w:name="n96"/>
      <w:bookmarkEnd w:id="95"/>
      <w:r w:rsidRPr="00FC2A10">
        <w:rPr>
          <w:rFonts w:ascii="Times New Roman" w:eastAsia="Times New Roman" w:hAnsi="Times New Roman" w:cs="Times New Roman"/>
          <w:color w:val="000000"/>
          <w:sz w:val="24"/>
          <w:szCs w:val="24"/>
          <w:lang w:eastAsia="ru-RU"/>
        </w:rPr>
        <w:t>4. Діагностичні набори для визначення концентрації такролімусу:</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6" w:name="n97"/>
      <w:bookmarkEnd w:id="96"/>
      <w:r w:rsidRPr="00FC2A10">
        <w:rPr>
          <w:rFonts w:ascii="Times New Roman" w:eastAsia="Times New Roman" w:hAnsi="Times New Roman" w:cs="Times New Roman"/>
          <w:color w:val="000000"/>
          <w:sz w:val="24"/>
          <w:szCs w:val="24"/>
          <w:lang w:eastAsia="ru-RU"/>
        </w:rPr>
        <w:t>1) необхідна кількість тестувань для визначення концентрації такролімусу у дорослих, яким провели трансплантацію протягом останніх трьох місяців у попередньому до звітного року періоді,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97" w:name="n98"/>
      <w:bookmarkEnd w:id="97"/>
      <w:r w:rsidRPr="00FC2A10">
        <w:rPr>
          <w:rFonts w:ascii="Times New Roman" w:eastAsia="Times New Roman" w:hAnsi="Times New Roman" w:cs="Times New Roman"/>
          <w:color w:val="000000"/>
          <w:sz w:val="24"/>
          <w:szCs w:val="24"/>
          <w:lang w:eastAsia="ru-RU"/>
        </w:rPr>
        <w:t>C1 = A х 10,</w:t>
      </w:r>
    </w:p>
    <w:tbl>
      <w:tblPr>
        <w:tblW w:w="5000" w:type="pct"/>
        <w:tblCellMar>
          <w:left w:w="0" w:type="dxa"/>
          <w:right w:w="0" w:type="dxa"/>
        </w:tblCellMar>
        <w:tblLook w:val="04A0" w:firstRow="1" w:lastRow="0" w:firstColumn="1" w:lastColumn="0" w:noHBand="0" w:noVBand="1"/>
      </w:tblPr>
      <w:tblGrid>
        <w:gridCol w:w="413"/>
        <w:gridCol w:w="813"/>
        <w:gridCol w:w="118"/>
        <w:gridCol w:w="8005"/>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98" w:name="n99"/>
            <w:bookmarkEnd w:id="98"/>
            <w:r w:rsidRPr="00FC2A10">
              <w:rPr>
                <w:rFonts w:ascii="Times New Roman" w:eastAsia="Times New Roman" w:hAnsi="Times New Roman" w:cs="Times New Roman"/>
                <w:sz w:val="24"/>
                <w:szCs w:val="24"/>
                <w:lang w:eastAsia="ru-RU"/>
              </w:rPr>
              <w:t>де</w:t>
            </w: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А</w:t>
            </w:r>
          </w:p>
        </w:tc>
        <w:tc>
          <w:tcPr>
            <w:tcW w:w="13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дорослих, яким провели трансплантацію протягом останніх трьох місяців у попередньому до звітного року періоді;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10</w:t>
            </w:r>
          </w:p>
        </w:tc>
        <w:tc>
          <w:tcPr>
            <w:tcW w:w="13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досліджень для визначення стабільної концентрації для пацієнтів, яким провели трансплантацію протягом останніх трьох місяців;</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09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С1</w:t>
            </w:r>
          </w:p>
        </w:tc>
        <w:tc>
          <w:tcPr>
            <w:tcW w:w="13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99" w:name="n100"/>
      <w:bookmarkEnd w:id="99"/>
      <w:r w:rsidRPr="00FC2A10">
        <w:rPr>
          <w:rFonts w:ascii="Times New Roman" w:eastAsia="Times New Roman" w:hAnsi="Times New Roman" w:cs="Times New Roman"/>
          <w:color w:val="000000"/>
          <w:sz w:val="24"/>
          <w:szCs w:val="24"/>
          <w:lang w:eastAsia="ru-RU"/>
        </w:rPr>
        <w:t>2) необхідна кількість тестувань для визначення концентрації такролімусу у дітей, яким провели трансплантацію протягом останніх трьох місяців у попередньому до звітного року періоді,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00" w:name="n101"/>
      <w:bookmarkEnd w:id="100"/>
      <w:r w:rsidRPr="00FC2A10">
        <w:rPr>
          <w:rFonts w:ascii="Times New Roman" w:eastAsia="Times New Roman" w:hAnsi="Times New Roman" w:cs="Times New Roman"/>
          <w:color w:val="000000"/>
          <w:sz w:val="24"/>
          <w:szCs w:val="24"/>
          <w:lang w:eastAsia="ru-RU"/>
        </w:rPr>
        <w:t>C1 діт. = А діт. х 20,</w:t>
      </w:r>
    </w:p>
    <w:tbl>
      <w:tblPr>
        <w:tblW w:w="5000" w:type="pct"/>
        <w:tblCellMar>
          <w:left w:w="0" w:type="dxa"/>
          <w:right w:w="0" w:type="dxa"/>
        </w:tblCellMar>
        <w:tblLook w:val="04A0" w:firstRow="1" w:lastRow="0" w:firstColumn="1" w:lastColumn="0" w:noHBand="0" w:noVBand="1"/>
      </w:tblPr>
      <w:tblGrid>
        <w:gridCol w:w="408"/>
        <w:gridCol w:w="1042"/>
        <w:gridCol w:w="85"/>
        <w:gridCol w:w="7814"/>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01" w:name="n102"/>
            <w:bookmarkEnd w:id="101"/>
            <w:r w:rsidRPr="00FC2A10">
              <w:rPr>
                <w:rFonts w:ascii="Times New Roman" w:eastAsia="Times New Roman" w:hAnsi="Times New Roman" w:cs="Times New Roman"/>
                <w:sz w:val="24"/>
                <w:szCs w:val="24"/>
                <w:lang w:eastAsia="ru-RU"/>
              </w:rPr>
              <w:t>де</w:t>
            </w: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А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дітей, яким провели трансплантацію протягом останніх двох - трьох місяців у попередньому до звітного року періоді;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20</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досліджень для визначення стабільної концентрації для пацієнтів, яким провели трансплантацію протягом останніх трьох місяців;</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С1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2" w:name="n103"/>
      <w:bookmarkEnd w:id="102"/>
      <w:r w:rsidRPr="00FC2A10">
        <w:rPr>
          <w:rFonts w:ascii="Times New Roman" w:eastAsia="Times New Roman" w:hAnsi="Times New Roman" w:cs="Times New Roman"/>
          <w:color w:val="000000"/>
          <w:sz w:val="24"/>
          <w:szCs w:val="24"/>
          <w:lang w:eastAsia="ru-RU"/>
        </w:rPr>
        <w:t>3) необхідна кількість тестувань для визначення концентрації такролімусу у дорослих, яким провели трансплантацію більше ніж один рік тому,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03" w:name="n104"/>
      <w:bookmarkEnd w:id="103"/>
      <w:r w:rsidRPr="00FC2A10">
        <w:rPr>
          <w:rFonts w:ascii="Times New Roman" w:eastAsia="Times New Roman" w:hAnsi="Times New Roman" w:cs="Times New Roman"/>
          <w:color w:val="000000"/>
          <w:sz w:val="24"/>
          <w:szCs w:val="24"/>
          <w:lang w:eastAsia="ru-RU"/>
        </w:rPr>
        <w:t>C2 = В х 4,</w:t>
      </w:r>
    </w:p>
    <w:tbl>
      <w:tblPr>
        <w:tblW w:w="5000" w:type="pct"/>
        <w:tblCellMar>
          <w:left w:w="0" w:type="dxa"/>
          <w:right w:w="0" w:type="dxa"/>
        </w:tblCellMar>
        <w:tblLook w:val="04A0" w:firstRow="1" w:lastRow="0" w:firstColumn="1" w:lastColumn="0" w:noHBand="0" w:noVBand="1"/>
      </w:tblPr>
      <w:tblGrid>
        <w:gridCol w:w="409"/>
        <w:gridCol w:w="1018"/>
        <w:gridCol w:w="85"/>
        <w:gridCol w:w="7837"/>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04" w:name="n105"/>
            <w:bookmarkEnd w:id="104"/>
            <w:r w:rsidRPr="00FC2A10">
              <w:rPr>
                <w:rFonts w:ascii="Times New Roman" w:eastAsia="Times New Roman" w:hAnsi="Times New Roman" w:cs="Times New Roman"/>
                <w:sz w:val="24"/>
                <w:szCs w:val="24"/>
                <w:lang w:eastAsia="ru-RU"/>
              </w:rPr>
              <w:t>де</w:t>
            </w: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В</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пацієнтів, яким провели трансплантацію більше ніж один рік тому;</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4</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тестувань на одного пацієнта;</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5" w:name="n106"/>
      <w:bookmarkEnd w:id="105"/>
      <w:r w:rsidRPr="00FC2A10">
        <w:rPr>
          <w:rFonts w:ascii="Times New Roman" w:eastAsia="Times New Roman" w:hAnsi="Times New Roman" w:cs="Times New Roman"/>
          <w:color w:val="000000"/>
          <w:sz w:val="24"/>
          <w:szCs w:val="24"/>
          <w:lang w:eastAsia="ru-RU"/>
        </w:rPr>
        <w:t>4) необхідна кількість тестувань для визначення концентрації такролімусу у дітей, яким провели трансплантацію більше ніж один рік тому,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06" w:name="n107"/>
      <w:bookmarkEnd w:id="106"/>
      <w:r w:rsidRPr="00FC2A10">
        <w:rPr>
          <w:rFonts w:ascii="Times New Roman" w:eastAsia="Times New Roman" w:hAnsi="Times New Roman" w:cs="Times New Roman"/>
          <w:color w:val="000000"/>
          <w:sz w:val="24"/>
          <w:szCs w:val="24"/>
          <w:lang w:eastAsia="ru-RU"/>
        </w:rPr>
        <w:t>C2 діт. = В діт. х 12,</w:t>
      </w:r>
    </w:p>
    <w:tbl>
      <w:tblPr>
        <w:tblW w:w="5000" w:type="pct"/>
        <w:tblCellMar>
          <w:left w:w="0" w:type="dxa"/>
          <w:right w:w="0" w:type="dxa"/>
        </w:tblCellMar>
        <w:tblLook w:val="04A0" w:firstRow="1" w:lastRow="0" w:firstColumn="1" w:lastColumn="0" w:noHBand="0" w:noVBand="1"/>
      </w:tblPr>
      <w:tblGrid>
        <w:gridCol w:w="408"/>
        <w:gridCol w:w="1042"/>
        <w:gridCol w:w="85"/>
        <w:gridCol w:w="7814"/>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07" w:name="n108"/>
            <w:bookmarkEnd w:id="107"/>
            <w:r w:rsidRPr="00FC2A10">
              <w:rPr>
                <w:rFonts w:ascii="Times New Roman" w:eastAsia="Times New Roman" w:hAnsi="Times New Roman" w:cs="Times New Roman"/>
                <w:sz w:val="24"/>
                <w:szCs w:val="24"/>
                <w:lang w:eastAsia="ru-RU"/>
              </w:rPr>
              <w:lastRenderedPageBreak/>
              <w:t>де</w:t>
            </w: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В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пацієнтів, яким провели трансплантацію більше ніж один рік тому;</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тестувань;</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С2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наборів;</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08" w:name="n109"/>
      <w:bookmarkEnd w:id="108"/>
      <w:r w:rsidRPr="00FC2A10">
        <w:rPr>
          <w:rFonts w:ascii="Times New Roman" w:eastAsia="Times New Roman" w:hAnsi="Times New Roman" w:cs="Times New Roman"/>
          <w:color w:val="000000"/>
          <w:sz w:val="24"/>
          <w:szCs w:val="24"/>
          <w:lang w:eastAsia="ru-RU"/>
        </w:rPr>
        <w:t>5) необхідна кількість діагностичних тестувань для визначення концентрації такролімусу у дорослих, яким буде проведена трансплантація у звітному році,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09" w:name="n110"/>
      <w:bookmarkEnd w:id="109"/>
      <w:r w:rsidRPr="00FC2A10">
        <w:rPr>
          <w:rFonts w:ascii="Times New Roman" w:eastAsia="Times New Roman" w:hAnsi="Times New Roman" w:cs="Times New Roman"/>
          <w:color w:val="000000"/>
          <w:sz w:val="24"/>
          <w:szCs w:val="24"/>
          <w:lang w:eastAsia="ru-RU"/>
        </w:rPr>
        <w:t>C3 = D/2 х 30,</w:t>
      </w:r>
    </w:p>
    <w:tbl>
      <w:tblPr>
        <w:tblW w:w="5000" w:type="pct"/>
        <w:tblCellMar>
          <w:left w:w="0" w:type="dxa"/>
          <w:right w:w="0" w:type="dxa"/>
        </w:tblCellMar>
        <w:tblLook w:val="04A0" w:firstRow="1" w:lastRow="0" w:firstColumn="1" w:lastColumn="0" w:noHBand="0" w:noVBand="1"/>
      </w:tblPr>
      <w:tblGrid>
        <w:gridCol w:w="408"/>
        <w:gridCol w:w="1044"/>
        <w:gridCol w:w="85"/>
        <w:gridCol w:w="7812"/>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10" w:name="n111"/>
            <w:bookmarkEnd w:id="110"/>
            <w:r w:rsidRPr="00FC2A10">
              <w:rPr>
                <w:rFonts w:ascii="Times New Roman" w:eastAsia="Times New Roman" w:hAnsi="Times New Roman" w:cs="Times New Roman"/>
                <w:sz w:val="24"/>
                <w:szCs w:val="24"/>
                <w:lang w:eastAsia="ru-RU"/>
              </w:rPr>
              <w:t>де</w:t>
            </w: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D/2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дорослих пацієнтів, яким трансплантацію провели в Україні за попередній рік, розділена навпіл, оскільки орієнтовно тільки половина прийматиме такролімус;</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30</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досліджень для визначення стабільної концентрації для пацієнтів, яким буде проведена трансплантація у звітному році;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С3</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1" w:name="n112"/>
      <w:bookmarkEnd w:id="111"/>
      <w:r w:rsidRPr="00FC2A10">
        <w:rPr>
          <w:rFonts w:ascii="Times New Roman" w:eastAsia="Times New Roman" w:hAnsi="Times New Roman" w:cs="Times New Roman"/>
          <w:color w:val="000000"/>
          <w:sz w:val="24"/>
          <w:szCs w:val="24"/>
          <w:lang w:eastAsia="ru-RU"/>
        </w:rPr>
        <w:t>6) необхідна кількість діагностичних тестувань для визначення концентрації такролімусу у дітей, яким буде проведена трансплантація у звітному році, становить:</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12" w:name="n113"/>
      <w:bookmarkEnd w:id="112"/>
      <w:r w:rsidRPr="00FC2A10">
        <w:rPr>
          <w:rFonts w:ascii="Times New Roman" w:eastAsia="Times New Roman" w:hAnsi="Times New Roman" w:cs="Times New Roman"/>
          <w:color w:val="000000"/>
          <w:sz w:val="24"/>
          <w:szCs w:val="24"/>
          <w:lang w:eastAsia="ru-RU"/>
        </w:rPr>
        <w:t xml:space="preserve">C3 діт. = D </w:t>
      </w:r>
      <w:proofErr w:type="gramStart"/>
      <w:r w:rsidRPr="00FC2A10">
        <w:rPr>
          <w:rFonts w:ascii="Times New Roman" w:eastAsia="Times New Roman" w:hAnsi="Times New Roman" w:cs="Times New Roman"/>
          <w:color w:val="000000"/>
          <w:sz w:val="24"/>
          <w:szCs w:val="24"/>
          <w:lang w:eastAsia="ru-RU"/>
        </w:rPr>
        <w:t>діт./</w:t>
      </w:r>
      <w:proofErr w:type="gramEnd"/>
      <w:r w:rsidRPr="00FC2A10">
        <w:rPr>
          <w:rFonts w:ascii="Times New Roman" w:eastAsia="Times New Roman" w:hAnsi="Times New Roman" w:cs="Times New Roman"/>
          <w:color w:val="000000"/>
          <w:sz w:val="24"/>
          <w:szCs w:val="24"/>
          <w:lang w:eastAsia="ru-RU"/>
        </w:rPr>
        <w:t>2 х 33,</w:t>
      </w:r>
    </w:p>
    <w:tbl>
      <w:tblPr>
        <w:tblW w:w="5000" w:type="pct"/>
        <w:tblCellMar>
          <w:left w:w="0" w:type="dxa"/>
          <w:right w:w="0" w:type="dxa"/>
        </w:tblCellMar>
        <w:tblLook w:val="04A0" w:firstRow="1" w:lastRow="0" w:firstColumn="1" w:lastColumn="0" w:noHBand="0" w:noVBand="1"/>
      </w:tblPr>
      <w:tblGrid>
        <w:gridCol w:w="407"/>
        <w:gridCol w:w="1107"/>
        <w:gridCol w:w="85"/>
        <w:gridCol w:w="7750"/>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13" w:name="n114"/>
            <w:bookmarkEnd w:id="113"/>
            <w:r w:rsidRPr="00FC2A10">
              <w:rPr>
                <w:rFonts w:ascii="Times New Roman" w:eastAsia="Times New Roman" w:hAnsi="Times New Roman" w:cs="Times New Roman"/>
                <w:sz w:val="24"/>
                <w:szCs w:val="24"/>
                <w:lang w:eastAsia="ru-RU"/>
              </w:rPr>
              <w:t>де</w:t>
            </w: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D діт./2</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дітей, прооперованих в Україні за попередній рік, розділена навпіл, оскільки орієнтовно тільки половина прийматиме такролімус;</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33</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досліджень для визначення стабільної концентрації для пацієнтів, яким буде проведена трансплантація у звітному році;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С3 діт.</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діагностичних тестувань;</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4" w:name="n115"/>
      <w:bookmarkEnd w:id="114"/>
      <w:r w:rsidRPr="00FC2A10">
        <w:rPr>
          <w:rFonts w:ascii="Times New Roman" w:eastAsia="Times New Roman" w:hAnsi="Times New Roman" w:cs="Times New Roman"/>
          <w:color w:val="000000"/>
          <w:sz w:val="24"/>
          <w:szCs w:val="24"/>
          <w:lang w:eastAsia="ru-RU"/>
        </w:rPr>
        <w:t>7) для розрахунку загальної потреби у діагностичних наборах потрібно додати кількість тестувань, яка необхідна кожній із наведених вище груп, та розділити на 100 відповідно до кількості тест-наборів, які закуповуються в одному наборі:</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15" w:name="n116"/>
      <w:bookmarkEnd w:id="115"/>
      <w:r w:rsidRPr="00FC2A10">
        <w:rPr>
          <w:rFonts w:ascii="Times New Roman" w:eastAsia="Times New Roman" w:hAnsi="Times New Roman" w:cs="Times New Roman"/>
          <w:color w:val="000000"/>
          <w:sz w:val="24"/>
          <w:szCs w:val="24"/>
          <w:lang w:eastAsia="ru-RU"/>
        </w:rPr>
        <w:t>С = ((С1 + С2 + С3) + (С1 діт. + С2 діт. + С3 діт.)) / 100,</w:t>
      </w:r>
    </w:p>
    <w:tbl>
      <w:tblPr>
        <w:tblW w:w="5000" w:type="pct"/>
        <w:tblCellMar>
          <w:left w:w="0" w:type="dxa"/>
          <w:right w:w="0" w:type="dxa"/>
        </w:tblCellMar>
        <w:tblLook w:val="04A0" w:firstRow="1" w:lastRow="0" w:firstColumn="1" w:lastColumn="0" w:noHBand="0" w:noVBand="1"/>
      </w:tblPr>
      <w:tblGrid>
        <w:gridCol w:w="500"/>
        <w:gridCol w:w="3133"/>
        <w:gridCol w:w="176"/>
        <w:gridCol w:w="5540"/>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16" w:name="n117"/>
            <w:bookmarkEnd w:id="116"/>
            <w:r w:rsidRPr="00FC2A10">
              <w:rPr>
                <w:rFonts w:ascii="Times New Roman" w:eastAsia="Times New Roman" w:hAnsi="Times New Roman" w:cs="Times New Roman"/>
                <w:sz w:val="24"/>
                <w:szCs w:val="24"/>
                <w:lang w:eastAsia="ru-RU"/>
              </w:rPr>
              <w:t>де</w:t>
            </w:r>
          </w:p>
        </w:tc>
        <w:tc>
          <w:tcPr>
            <w:tcW w:w="32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(С1 + С2 + С3)</w:t>
            </w:r>
          </w:p>
        </w:tc>
        <w:tc>
          <w:tcPr>
            <w:tcW w:w="18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570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загальна кількість тестувань у дорослих;</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32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(С1 діт. + С2 діт. + С3 діт.)</w:t>
            </w:r>
          </w:p>
        </w:tc>
        <w:tc>
          <w:tcPr>
            <w:tcW w:w="18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570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загальна кількість тестувань у дітей;</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32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100</w:t>
            </w:r>
          </w:p>
        </w:tc>
        <w:tc>
          <w:tcPr>
            <w:tcW w:w="18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570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тестів в одному наборі;</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32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w:t>
            </w:r>
          </w:p>
        </w:tc>
        <w:tc>
          <w:tcPr>
            <w:tcW w:w="18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570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загальна потреба в діагностичних наборах для визначення концентрації такролімусу.</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7" w:name="n118"/>
      <w:bookmarkEnd w:id="117"/>
      <w:r w:rsidRPr="00FC2A10">
        <w:rPr>
          <w:rFonts w:ascii="Times New Roman" w:eastAsia="Times New Roman" w:hAnsi="Times New Roman" w:cs="Times New Roman"/>
          <w:color w:val="000000"/>
          <w:sz w:val="24"/>
          <w:szCs w:val="24"/>
          <w:lang w:eastAsia="ru-RU"/>
        </w:rPr>
        <w:t>5. Витратні матеріали для гемодіалізу у пацієнтів, які готуються до трансплантації (комплект для діалізу з діалізатором, кровопровідними магістралями та комплектом фістульних голок):</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18" w:name="n119"/>
      <w:bookmarkEnd w:id="118"/>
      <w:r w:rsidRPr="00FC2A10">
        <w:rPr>
          <w:rFonts w:ascii="Times New Roman" w:eastAsia="Times New Roman" w:hAnsi="Times New Roman" w:cs="Times New Roman"/>
          <w:color w:val="000000"/>
          <w:sz w:val="24"/>
          <w:szCs w:val="24"/>
          <w:lang w:eastAsia="ru-RU"/>
        </w:rPr>
        <w:lastRenderedPageBreak/>
        <w:t>1) необхідна кількість наборів для гемодіалізу розраховується за формулою:</w:t>
      </w:r>
    </w:p>
    <w:p w:rsidR="00FC2A10" w:rsidRPr="00FC2A10" w:rsidRDefault="00FC2A10" w:rsidP="00FC2A10">
      <w:pPr>
        <w:shd w:val="clear" w:color="auto" w:fill="FFFFFF"/>
        <w:spacing w:before="150" w:after="150" w:line="240" w:lineRule="auto"/>
        <w:jc w:val="center"/>
        <w:rPr>
          <w:rFonts w:ascii="Times New Roman" w:eastAsia="Times New Roman" w:hAnsi="Times New Roman" w:cs="Times New Roman"/>
          <w:color w:val="000000"/>
          <w:sz w:val="24"/>
          <w:szCs w:val="24"/>
          <w:lang w:eastAsia="ru-RU"/>
        </w:rPr>
      </w:pPr>
      <w:bookmarkStart w:id="119" w:name="n120"/>
      <w:bookmarkEnd w:id="119"/>
      <w:r w:rsidRPr="00FC2A10">
        <w:rPr>
          <w:rFonts w:ascii="Times New Roman" w:eastAsia="Times New Roman" w:hAnsi="Times New Roman" w:cs="Times New Roman"/>
          <w:color w:val="000000"/>
          <w:sz w:val="24"/>
          <w:szCs w:val="24"/>
          <w:lang w:eastAsia="ru-RU"/>
        </w:rPr>
        <w:t>HD = А х 3 + А х 0,03 х 5,</w:t>
      </w:r>
    </w:p>
    <w:tbl>
      <w:tblPr>
        <w:tblW w:w="5000" w:type="pct"/>
        <w:tblCellMar>
          <w:left w:w="0" w:type="dxa"/>
          <w:right w:w="0" w:type="dxa"/>
        </w:tblCellMar>
        <w:tblLook w:val="04A0" w:firstRow="1" w:lastRow="0" w:firstColumn="1" w:lastColumn="0" w:noHBand="0" w:noVBand="1"/>
      </w:tblPr>
      <w:tblGrid>
        <w:gridCol w:w="404"/>
        <w:gridCol w:w="1053"/>
        <w:gridCol w:w="85"/>
        <w:gridCol w:w="7807"/>
      </w:tblGrid>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20" w:name="n121"/>
            <w:bookmarkEnd w:id="120"/>
            <w:r w:rsidRPr="00FC2A10">
              <w:rPr>
                <w:rFonts w:ascii="Times New Roman" w:eastAsia="Times New Roman" w:hAnsi="Times New Roman" w:cs="Times New Roman"/>
                <w:sz w:val="24"/>
                <w:szCs w:val="24"/>
                <w:lang w:eastAsia="ru-RU"/>
              </w:rPr>
              <w:t>де</w:t>
            </w: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А</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пацієнтів, яким трансплантували нирку в Україні за останній рік;</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3</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наборів, необхідних для передопераційної підготовки одного хворого до трансплантації нирки;</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0,03</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коефіцієнт розповсюдження відтермінованої функції трансплантату;</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after="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5</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середня необхідна кількість гемодіалізів у післяопераційному періоді у пацієнтів із відтермінованою функцією трансплантата, розрахована відповідно до даних, отриманих від українських центрів трансплантації;</w:t>
            </w:r>
          </w:p>
        </w:tc>
      </w:tr>
      <w:tr w:rsidR="00FC2A10" w:rsidRPr="00FC2A10" w:rsidTr="00FC2A10">
        <w:tc>
          <w:tcPr>
            <w:tcW w:w="51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after="0" w:line="240" w:lineRule="auto"/>
              <w:rPr>
                <w:rFonts w:ascii="Times New Roman" w:eastAsia="Times New Roman" w:hAnsi="Times New Roman" w:cs="Times New Roman"/>
                <w:sz w:val="24"/>
                <w:szCs w:val="24"/>
                <w:lang w:eastAsia="ru-RU"/>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HD</w:t>
            </w:r>
          </w:p>
        </w:tc>
        <w:tc>
          <w:tcPr>
            <w:tcW w:w="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w:t>
            </w:r>
          </w:p>
        </w:tc>
        <w:tc>
          <w:tcPr>
            <w:tcW w:w="11415" w:type="dxa"/>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кількість діалізаторів;</w:t>
            </w:r>
          </w:p>
        </w:tc>
      </w:tr>
    </w:tbl>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1" w:name="n124"/>
      <w:bookmarkEnd w:id="121"/>
      <w:r w:rsidRPr="00FC2A10">
        <w:rPr>
          <w:rFonts w:ascii="Times New Roman" w:eastAsia="Times New Roman" w:hAnsi="Times New Roman" w:cs="Times New Roman"/>
          <w:color w:val="000000"/>
          <w:sz w:val="24"/>
          <w:szCs w:val="24"/>
          <w:lang w:eastAsia="ru-RU"/>
        </w:rPr>
        <w:t>2) діалізатори необхідно закуповувати відповідно до наявного апарату для гемодіалізу:</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2" w:name="n125"/>
      <w:bookmarkEnd w:id="122"/>
      <w:r w:rsidRPr="00FC2A10">
        <w:rPr>
          <w:rFonts w:ascii="Times New Roman" w:eastAsia="Times New Roman" w:hAnsi="Times New Roman" w:cs="Times New Roman"/>
          <w:color w:val="000000"/>
          <w:sz w:val="24"/>
          <w:szCs w:val="24"/>
          <w:lang w:eastAsia="ru-RU"/>
        </w:rPr>
        <w:t>діалізатор площею 1,3-1,6 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 до апаратів типу Фрезеніус 5008 (або еквівалент);</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3" w:name="n126"/>
      <w:bookmarkEnd w:id="123"/>
      <w:r w:rsidRPr="00FC2A10">
        <w:rPr>
          <w:rFonts w:ascii="Times New Roman" w:eastAsia="Times New Roman" w:hAnsi="Times New Roman" w:cs="Times New Roman"/>
          <w:color w:val="000000"/>
          <w:sz w:val="24"/>
          <w:szCs w:val="24"/>
          <w:lang w:eastAsia="ru-RU"/>
        </w:rPr>
        <w:t>діалізатор площею 1,3-1,6 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 до апаратів типу Gambro Innova (або еквівалент);</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4" w:name="n127"/>
      <w:bookmarkEnd w:id="124"/>
      <w:r w:rsidRPr="00FC2A10">
        <w:rPr>
          <w:rFonts w:ascii="Times New Roman" w:eastAsia="Times New Roman" w:hAnsi="Times New Roman" w:cs="Times New Roman"/>
          <w:color w:val="000000"/>
          <w:sz w:val="24"/>
          <w:szCs w:val="24"/>
          <w:lang w:eastAsia="ru-RU"/>
        </w:rPr>
        <w:t>діалізатор площею 1,7-2,0 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 до апаратів типу Фрезеніус 5008 (або еквівалент);</w:t>
      </w:r>
    </w:p>
    <w:p w:rsidR="00FC2A10" w:rsidRPr="00FC2A10" w:rsidRDefault="00FC2A10" w:rsidP="00FC2A10">
      <w:pPr>
        <w:shd w:val="clear" w:color="auto" w:fill="FFFFFF"/>
        <w:spacing w:after="150" w:line="240" w:lineRule="auto"/>
        <w:ind w:firstLine="450"/>
        <w:jc w:val="both"/>
        <w:rPr>
          <w:rFonts w:ascii="Times New Roman" w:eastAsia="Times New Roman" w:hAnsi="Times New Roman" w:cs="Times New Roman"/>
          <w:color w:val="000000"/>
          <w:sz w:val="24"/>
          <w:szCs w:val="24"/>
          <w:lang w:eastAsia="ru-RU"/>
        </w:rPr>
      </w:pPr>
      <w:bookmarkStart w:id="125" w:name="n128"/>
      <w:bookmarkEnd w:id="125"/>
      <w:r w:rsidRPr="00FC2A10">
        <w:rPr>
          <w:rFonts w:ascii="Times New Roman" w:eastAsia="Times New Roman" w:hAnsi="Times New Roman" w:cs="Times New Roman"/>
          <w:color w:val="000000"/>
          <w:sz w:val="24"/>
          <w:szCs w:val="24"/>
          <w:lang w:eastAsia="ru-RU"/>
        </w:rPr>
        <w:t>діалізатор площею 1,7-2,0 м</w:t>
      </w:r>
      <w:r w:rsidRPr="00FC2A10">
        <w:rPr>
          <w:rFonts w:ascii="Times New Roman" w:eastAsia="Times New Roman" w:hAnsi="Times New Roman" w:cs="Times New Roman"/>
          <w:b/>
          <w:bCs/>
          <w:color w:val="000000"/>
          <w:sz w:val="2"/>
          <w:szCs w:val="2"/>
          <w:vertAlign w:val="superscript"/>
          <w:lang w:eastAsia="ru-RU"/>
        </w:rPr>
        <w:t>-</w:t>
      </w:r>
      <w:r w:rsidRPr="00FC2A10">
        <w:rPr>
          <w:rFonts w:ascii="Times New Roman" w:eastAsia="Times New Roman" w:hAnsi="Times New Roman" w:cs="Times New Roman"/>
          <w:b/>
          <w:bCs/>
          <w:color w:val="000000"/>
          <w:sz w:val="16"/>
          <w:szCs w:val="16"/>
          <w:vertAlign w:val="superscript"/>
          <w:lang w:eastAsia="ru-RU"/>
        </w:rPr>
        <w:t>2</w:t>
      </w:r>
      <w:r w:rsidRPr="00FC2A10">
        <w:rPr>
          <w:rFonts w:ascii="Times New Roman" w:eastAsia="Times New Roman" w:hAnsi="Times New Roman" w:cs="Times New Roman"/>
          <w:color w:val="000000"/>
          <w:sz w:val="24"/>
          <w:szCs w:val="24"/>
          <w:lang w:eastAsia="ru-RU"/>
        </w:rPr>
        <w:t> до апаратів типу Gambro Innova (або еквівалент).</w:t>
      </w:r>
    </w:p>
    <w:tbl>
      <w:tblPr>
        <w:tblW w:w="5000" w:type="pct"/>
        <w:tblCellMar>
          <w:left w:w="0" w:type="dxa"/>
          <w:right w:w="0" w:type="dxa"/>
        </w:tblCellMar>
        <w:tblLook w:val="04A0" w:firstRow="1" w:lastRow="0" w:firstColumn="1" w:lastColumn="0" w:noHBand="0" w:noVBand="1"/>
      </w:tblPr>
      <w:tblGrid>
        <w:gridCol w:w="3927"/>
        <w:gridCol w:w="280"/>
        <w:gridCol w:w="3740"/>
        <w:gridCol w:w="1402"/>
      </w:tblGrid>
      <w:tr w:rsidR="00FC2A10" w:rsidRPr="00FC2A10" w:rsidTr="00FC2A10">
        <w:tc>
          <w:tcPr>
            <w:tcW w:w="21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300" w:after="150" w:line="240" w:lineRule="auto"/>
              <w:jc w:val="center"/>
              <w:rPr>
                <w:rFonts w:ascii="Times New Roman" w:eastAsia="Times New Roman" w:hAnsi="Times New Roman" w:cs="Times New Roman"/>
                <w:sz w:val="24"/>
                <w:szCs w:val="24"/>
                <w:lang w:eastAsia="ru-RU"/>
              </w:rPr>
            </w:pPr>
            <w:bookmarkStart w:id="126" w:name="n129"/>
            <w:bookmarkEnd w:id="126"/>
            <w:r w:rsidRPr="00FC2A10">
              <w:rPr>
                <w:rFonts w:ascii="Times New Roman" w:eastAsia="Times New Roman" w:hAnsi="Times New Roman" w:cs="Times New Roman"/>
                <w:b/>
                <w:bCs/>
                <w:color w:val="000000"/>
                <w:sz w:val="24"/>
                <w:szCs w:val="24"/>
                <w:lang w:eastAsia="ru-RU"/>
              </w:rPr>
              <w:t>Директор Департаменту</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впровадження реформ</w:t>
            </w:r>
          </w:p>
        </w:tc>
        <w:tc>
          <w:tcPr>
            <w:tcW w:w="3500" w:type="pct"/>
            <w:gridSpan w:val="3"/>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300" w:after="0" w:line="240" w:lineRule="auto"/>
              <w:jc w:val="right"/>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А. Гаврилюк</w:t>
            </w:r>
          </w:p>
        </w:tc>
      </w:tr>
      <w:tr w:rsidR="00FC2A10" w:rsidRPr="00FC2A10" w:rsidTr="00FC2A10">
        <w:trPr>
          <w:gridAfter w:val="1"/>
          <w:wAfter w:w="2616" w:type="dxa"/>
        </w:trPr>
        <w:tc>
          <w:tcPr>
            <w:tcW w:w="2250" w:type="pct"/>
            <w:gridSpan w:val="2"/>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bookmarkStart w:id="127" w:name="n135"/>
            <w:bookmarkStart w:id="128" w:name="n130"/>
            <w:bookmarkEnd w:id="127"/>
            <w:bookmarkEnd w:id="128"/>
          </w:p>
        </w:tc>
        <w:tc>
          <w:tcPr>
            <w:tcW w:w="2000" w:type="pct"/>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Додаток </w:t>
            </w:r>
            <w:r w:rsidRPr="00FC2A10">
              <w:rPr>
                <w:rFonts w:ascii="Times New Roman" w:eastAsia="Times New Roman" w:hAnsi="Times New Roman" w:cs="Times New Roman"/>
                <w:sz w:val="24"/>
                <w:szCs w:val="24"/>
                <w:lang w:eastAsia="ru-RU"/>
              </w:rPr>
              <w:br/>
              <w:t>до Методики планування та розрахунку </w:t>
            </w:r>
            <w:r w:rsidRPr="00FC2A10">
              <w:rPr>
                <w:rFonts w:ascii="Times New Roman" w:eastAsia="Times New Roman" w:hAnsi="Times New Roman" w:cs="Times New Roman"/>
                <w:sz w:val="24"/>
                <w:szCs w:val="24"/>
                <w:lang w:eastAsia="ru-RU"/>
              </w:rPr>
              <w:br/>
              <w:t>кількості лікарських засобів, медичних </w:t>
            </w:r>
            <w:r w:rsidRPr="00FC2A10">
              <w:rPr>
                <w:rFonts w:ascii="Times New Roman" w:eastAsia="Times New Roman" w:hAnsi="Times New Roman" w:cs="Times New Roman"/>
                <w:sz w:val="24"/>
                <w:szCs w:val="24"/>
                <w:lang w:eastAsia="ru-RU"/>
              </w:rPr>
              <w:br/>
              <w:t>виробів, що закуповуються за рахунок </w:t>
            </w:r>
            <w:r w:rsidRPr="00FC2A10">
              <w:rPr>
                <w:rFonts w:ascii="Times New Roman" w:eastAsia="Times New Roman" w:hAnsi="Times New Roman" w:cs="Times New Roman"/>
                <w:sz w:val="24"/>
                <w:szCs w:val="24"/>
                <w:lang w:eastAsia="ru-RU"/>
              </w:rPr>
              <w:br/>
              <w:t>та у межах відповідного обсягу видатків, </w:t>
            </w:r>
            <w:r w:rsidRPr="00FC2A10">
              <w:rPr>
                <w:rFonts w:ascii="Times New Roman" w:eastAsia="Times New Roman" w:hAnsi="Times New Roman" w:cs="Times New Roman"/>
                <w:sz w:val="24"/>
                <w:szCs w:val="24"/>
                <w:lang w:eastAsia="ru-RU"/>
              </w:rPr>
              <w:br/>
              <w:t>затвердженого в державному </w:t>
            </w:r>
            <w:r w:rsidRPr="00FC2A10">
              <w:rPr>
                <w:rFonts w:ascii="Times New Roman" w:eastAsia="Times New Roman" w:hAnsi="Times New Roman" w:cs="Times New Roman"/>
                <w:sz w:val="24"/>
                <w:szCs w:val="24"/>
                <w:lang w:eastAsia="ru-RU"/>
              </w:rPr>
              <w:br/>
              <w:t>та місцевих бюджетах на відповідний рік, </w:t>
            </w:r>
            <w:r w:rsidRPr="00FC2A10">
              <w:rPr>
                <w:rFonts w:ascii="Times New Roman" w:eastAsia="Times New Roman" w:hAnsi="Times New Roman" w:cs="Times New Roman"/>
                <w:sz w:val="24"/>
                <w:szCs w:val="24"/>
                <w:lang w:eastAsia="ru-RU"/>
              </w:rPr>
              <w:br/>
              <w:t>для забезпечення хворих, що перенесли </w:t>
            </w:r>
            <w:r w:rsidRPr="00FC2A10">
              <w:rPr>
                <w:rFonts w:ascii="Times New Roman" w:eastAsia="Times New Roman" w:hAnsi="Times New Roman" w:cs="Times New Roman"/>
                <w:sz w:val="24"/>
                <w:szCs w:val="24"/>
                <w:lang w:eastAsia="ru-RU"/>
              </w:rPr>
              <w:br/>
              <w:t>або готуються до трансплантації органів </w:t>
            </w:r>
            <w:r w:rsidRPr="00FC2A10">
              <w:rPr>
                <w:rFonts w:ascii="Times New Roman" w:eastAsia="Times New Roman" w:hAnsi="Times New Roman" w:cs="Times New Roman"/>
                <w:sz w:val="24"/>
                <w:szCs w:val="24"/>
                <w:lang w:eastAsia="ru-RU"/>
              </w:rPr>
              <w:br/>
              <w:t>та інших анатомічних матеріалів </w:t>
            </w:r>
            <w:r w:rsidRPr="00FC2A10">
              <w:rPr>
                <w:rFonts w:ascii="Times New Roman" w:eastAsia="Times New Roman" w:hAnsi="Times New Roman" w:cs="Times New Roman"/>
                <w:sz w:val="24"/>
                <w:szCs w:val="24"/>
                <w:lang w:eastAsia="ru-RU"/>
              </w:rPr>
              <w:br/>
              <w:t>(пункт 2 розділу III)</w:t>
            </w:r>
          </w:p>
        </w:tc>
      </w:tr>
    </w:tbl>
    <w:p w:rsidR="00FC2A10" w:rsidRPr="00FC2A10" w:rsidRDefault="00FC2A10" w:rsidP="00FC2A10">
      <w:pPr>
        <w:shd w:val="clear" w:color="auto" w:fill="FFFFFF"/>
        <w:spacing w:before="150" w:after="150" w:line="240" w:lineRule="auto"/>
        <w:ind w:left="450" w:right="450"/>
        <w:jc w:val="center"/>
        <w:rPr>
          <w:rFonts w:ascii="Times New Roman" w:eastAsia="Times New Roman" w:hAnsi="Times New Roman" w:cs="Times New Roman"/>
          <w:color w:val="000000"/>
          <w:sz w:val="24"/>
          <w:szCs w:val="24"/>
          <w:lang w:eastAsia="ru-RU"/>
        </w:rPr>
      </w:pPr>
      <w:bookmarkStart w:id="129" w:name="n131"/>
      <w:bookmarkEnd w:id="129"/>
      <w:r w:rsidRPr="00FC2A10">
        <w:rPr>
          <w:rFonts w:ascii="Times New Roman" w:eastAsia="Times New Roman" w:hAnsi="Times New Roman" w:cs="Times New Roman"/>
          <w:b/>
          <w:bCs/>
          <w:color w:val="000000"/>
          <w:sz w:val="28"/>
          <w:szCs w:val="28"/>
          <w:lang w:eastAsia="ru-RU"/>
        </w:rPr>
        <w:t>ДОВІДКА </w:t>
      </w:r>
      <w:r w:rsidRPr="00FC2A10">
        <w:rPr>
          <w:rFonts w:ascii="Times New Roman" w:eastAsia="Times New Roman" w:hAnsi="Times New Roman" w:cs="Times New Roman"/>
          <w:color w:val="000000"/>
          <w:sz w:val="24"/>
          <w:szCs w:val="24"/>
          <w:lang w:eastAsia="ru-RU"/>
        </w:rPr>
        <w:br/>
      </w:r>
      <w:r w:rsidRPr="00FC2A10">
        <w:rPr>
          <w:rFonts w:ascii="Times New Roman" w:eastAsia="Times New Roman" w:hAnsi="Times New Roman" w:cs="Times New Roman"/>
          <w:b/>
          <w:bCs/>
          <w:color w:val="000000"/>
          <w:sz w:val="28"/>
          <w:szCs w:val="28"/>
          <w:lang w:eastAsia="ru-RU"/>
        </w:rPr>
        <w:t>щодо спостереження за пацієнтами з трансплантованими органами</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937"/>
        <w:gridCol w:w="1177"/>
        <w:gridCol w:w="1875"/>
        <w:gridCol w:w="2426"/>
        <w:gridCol w:w="1924"/>
      </w:tblGrid>
      <w:tr w:rsidR="00FC2A10" w:rsidRPr="00FC2A10" w:rsidTr="00FC2A10">
        <w:trPr>
          <w:trHeight w:val="615"/>
        </w:trPr>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bookmarkStart w:id="130" w:name="n132"/>
            <w:bookmarkEnd w:id="130"/>
            <w:r w:rsidRPr="00FC2A10">
              <w:rPr>
                <w:rFonts w:ascii="Times New Roman" w:eastAsia="Times New Roman" w:hAnsi="Times New Roman" w:cs="Times New Roman"/>
                <w:sz w:val="24"/>
                <w:szCs w:val="24"/>
                <w:lang w:eastAsia="ru-RU"/>
              </w:rPr>
              <w:lastRenderedPageBreak/>
              <w:t>Термін після трансплантації</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Інтервал між оглядами та визначенням концентрації для дітей</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Інтервал між оглядами та визначенням концентрації для дорослих</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jc w:val="center"/>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Мета спостереження</w:t>
            </w:r>
          </w:p>
        </w:tc>
      </w:tr>
      <w:tr w:rsidR="00FC2A10" w:rsidRPr="00FC2A10" w:rsidTr="00FC2A10">
        <w:trPr>
          <w:trHeight w:val="360"/>
        </w:trPr>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Перші 15 днів</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Щодня</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Щодня</w:t>
            </w:r>
          </w:p>
        </w:tc>
        <w:tc>
          <w:tcPr>
            <w:tcW w:w="3780" w:type="dxa"/>
            <w:vMerge w:val="restart"/>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Виявлення гострого відторгнення (високий ризик), післяопераційних ускладнень, побічної дії імуносупресивних препаратів</w:t>
            </w:r>
          </w:p>
        </w:tc>
      </w:tr>
      <w:tr w:rsidR="00FC2A10" w:rsidRPr="00FC2A10" w:rsidTr="00FC2A10">
        <w:trPr>
          <w:trHeight w:val="60"/>
        </w:trPr>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Перші 15-30 днів</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2-3 рази на тиждень</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2-3 рази на тиждень</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rsidR="00FC2A10" w:rsidRPr="00FC2A10" w:rsidRDefault="00FC2A10" w:rsidP="00FC2A10">
            <w:pPr>
              <w:spacing w:after="0" w:line="240" w:lineRule="auto"/>
              <w:rPr>
                <w:rFonts w:ascii="Times New Roman" w:eastAsia="Times New Roman" w:hAnsi="Times New Roman" w:cs="Times New Roman"/>
                <w:sz w:val="24"/>
                <w:szCs w:val="24"/>
                <w:lang w:eastAsia="ru-RU"/>
              </w:rPr>
            </w:pPr>
          </w:p>
        </w:tc>
      </w:tr>
      <w:tr w:rsidR="00FC2A10" w:rsidRPr="00FC2A10" w:rsidTr="00FC2A10">
        <w:trPr>
          <w:trHeight w:val="60"/>
        </w:trPr>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1-3 місяці</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 раз на тиждень</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 раз на 1-3 тижні</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Виявлення гострого відторгнення (високий ризик), опортуністичних інфекцій, побічної дії імуносупресивних препаратів, дотримання призначень (комплайнс) у дітей</w:t>
            </w:r>
          </w:p>
        </w:tc>
      </w:tr>
      <w:tr w:rsidR="00FC2A10" w:rsidRPr="00FC2A10" w:rsidTr="00FC2A10">
        <w:trPr>
          <w:trHeight w:val="60"/>
        </w:trPr>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4-12 місяців</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 раз на 2-4 тижні</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 раз на 4-8 тижнів</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Виявлення гострого відторгнення (помірний ризик), опортуністичних інфекцій, побічної дії імуносупресивних препаратів, дотримання призначень (комплайнс) у дітей</w:t>
            </w:r>
          </w:p>
        </w:tc>
      </w:tr>
      <w:tr w:rsidR="00FC2A10" w:rsidRPr="00FC2A10" w:rsidTr="00FC2A10">
        <w:trPr>
          <w:trHeight w:val="60"/>
        </w:trPr>
        <w:tc>
          <w:tcPr>
            <w:tcW w:w="252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Після 12 місяців</w:t>
            </w:r>
          </w:p>
        </w:tc>
        <w:tc>
          <w:tcPr>
            <w:tcW w:w="3060"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 раз на місяць </w:t>
            </w:r>
            <w:r w:rsidRPr="00FC2A10">
              <w:rPr>
                <w:rFonts w:ascii="Times New Roman" w:eastAsia="Times New Roman" w:hAnsi="Times New Roman" w:cs="Times New Roman"/>
                <w:sz w:val="24"/>
                <w:szCs w:val="24"/>
                <w:lang w:eastAsia="ru-RU"/>
              </w:rPr>
              <w:br/>
              <w:t>(у разі зміни дози препарату або конверсії пацієнтів на інший препарат потрібне додаткове тестування, що в середньому становить 4-5 визначень концентрації)</w:t>
            </w:r>
          </w:p>
        </w:tc>
        <w:tc>
          <w:tcPr>
            <w:tcW w:w="270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t>1 раз на 2-4 місяці </w:t>
            </w:r>
            <w:r w:rsidRPr="00FC2A10">
              <w:rPr>
                <w:rFonts w:ascii="Times New Roman" w:eastAsia="Times New Roman" w:hAnsi="Times New Roman" w:cs="Times New Roman"/>
                <w:sz w:val="24"/>
                <w:szCs w:val="24"/>
                <w:lang w:eastAsia="ru-RU"/>
              </w:rPr>
              <w:br/>
              <w:t xml:space="preserve">(у разі зміни дози препарату або конверсії пацієнтів на інший препарат потрібне додаткове тестування, що в середньому становить </w:t>
            </w:r>
            <w:r w:rsidRPr="00FC2A10">
              <w:rPr>
                <w:rFonts w:ascii="Times New Roman" w:eastAsia="Times New Roman" w:hAnsi="Times New Roman" w:cs="Times New Roman"/>
                <w:sz w:val="24"/>
                <w:szCs w:val="24"/>
                <w:lang w:eastAsia="ru-RU"/>
              </w:rPr>
              <w:lastRenderedPageBreak/>
              <w:t>4-5 визначень концентрації)</w:t>
            </w:r>
          </w:p>
        </w:tc>
        <w:tc>
          <w:tcPr>
            <w:tcW w:w="3780" w:type="dxa"/>
            <w:tcBorders>
              <w:top w:val="single" w:sz="6" w:space="0" w:color="000000"/>
              <w:left w:val="single" w:sz="6" w:space="0" w:color="000000"/>
              <w:bottom w:val="single" w:sz="6" w:space="0" w:color="000000"/>
              <w:right w:val="single" w:sz="6" w:space="0" w:color="000000"/>
            </w:tcBorders>
            <w:shd w:val="clear" w:color="auto" w:fill="auto"/>
            <w:hideMark/>
          </w:tcPr>
          <w:p w:rsidR="00FC2A10" w:rsidRPr="00FC2A10" w:rsidRDefault="00FC2A10" w:rsidP="00FC2A10">
            <w:pPr>
              <w:spacing w:before="150" w:after="150" w:line="240" w:lineRule="auto"/>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lastRenderedPageBreak/>
              <w:t xml:space="preserve">Виявлення дисфункції трансплантата, серцево-судинних захворювань, злоякісних новоутворень, побічної дії </w:t>
            </w:r>
            <w:r w:rsidRPr="00FC2A10">
              <w:rPr>
                <w:rFonts w:ascii="Times New Roman" w:eastAsia="Times New Roman" w:hAnsi="Times New Roman" w:cs="Times New Roman"/>
                <w:sz w:val="24"/>
                <w:szCs w:val="24"/>
                <w:lang w:eastAsia="ru-RU"/>
              </w:rPr>
              <w:lastRenderedPageBreak/>
              <w:t>імуносупресивних препаратів. </w:t>
            </w:r>
            <w:r w:rsidRPr="00FC2A10">
              <w:rPr>
                <w:rFonts w:ascii="Times New Roman" w:eastAsia="Times New Roman" w:hAnsi="Times New Roman" w:cs="Times New Roman"/>
                <w:sz w:val="24"/>
                <w:szCs w:val="24"/>
                <w:lang w:eastAsia="ru-RU"/>
              </w:rPr>
              <w:br/>
              <w:t>Діти: виявлення дисфункції трансплантата, серцево-судинних захворювань, злоякісних новоутворень, побічної дії імуносупресивних препаратів, дотримання призначень (комплайнс) у дітей</w:t>
            </w:r>
          </w:p>
        </w:tc>
      </w:tr>
      <w:tr w:rsidR="00FC2A10" w:rsidRPr="00FC2A10" w:rsidTr="00FC2A10">
        <w:tblPrEx>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Ex>
        <w:trPr>
          <w:gridAfter w:val="1"/>
          <w:wAfter w:w="1209" w:type="dxa"/>
        </w:trPr>
        <w:tc>
          <w:tcPr>
            <w:tcW w:w="2100" w:type="pct"/>
            <w:gridSpan w:val="2"/>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300" w:after="150" w:line="240" w:lineRule="auto"/>
              <w:jc w:val="center"/>
              <w:rPr>
                <w:rFonts w:ascii="Times New Roman" w:eastAsia="Times New Roman" w:hAnsi="Times New Roman" w:cs="Times New Roman"/>
                <w:sz w:val="24"/>
                <w:szCs w:val="24"/>
                <w:lang w:eastAsia="ru-RU"/>
              </w:rPr>
            </w:pPr>
            <w:bookmarkStart w:id="131" w:name="n133"/>
            <w:bookmarkEnd w:id="131"/>
            <w:r w:rsidRPr="00FC2A10">
              <w:rPr>
                <w:rFonts w:ascii="Times New Roman" w:eastAsia="Times New Roman" w:hAnsi="Times New Roman" w:cs="Times New Roman"/>
                <w:b/>
                <w:bCs/>
                <w:color w:val="000000"/>
                <w:sz w:val="24"/>
                <w:szCs w:val="24"/>
                <w:lang w:eastAsia="ru-RU"/>
              </w:rPr>
              <w:lastRenderedPageBreak/>
              <w:t>Директор Департаменту</w:t>
            </w:r>
            <w:r w:rsidRPr="00FC2A10">
              <w:rPr>
                <w:rFonts w:ascii="Times New Roman" w:eastAsia="Times New Roman" w:hAnsi="Times New Roman" w:cs="Times New Roman"/>
                <w:sz w:val="24"/>
                <w:szCs w:val="24"/>
                <w:lang w:eastAsia="ru-RU"/>
              </w:rPr>
              <w:t> </w:t>
            </w: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впровадження реформ</w:t>
            </w:r>
          </w:p>
        </w:tc>
        <w:tc>
          <w:tcPr>
            <w:tcW w:w="3500" w:type="pct"/>
            <w:gridSpan w:val="2"/>
            <w:tcBorders>
              <w:top w:val="single" w:sz="2" w:space="0" w:color="auto"/>
              <w:left w:val="single" w:sz="2" w:space="0" w:color="auto"/>
              <w:bottom w:val="single" w:sz="2" w:space="0" w:color="auto"/>
              <w:right w:val="single" w:sz="2" w:space="0" w:color="auto"/>
            </w:tcBorders>
            <w:shd w:val="clear" w:color="auto" w:fill="auto"/>
            <w:hideMark/>
          </w:tcPr>
          <w:p w:rsidR="00FC2A10" w:rsidRPr="00FC2A10" w:rsidRDefault="00FC2A10" w:rsidP="00FC2A10">
            <w:pPr>
              <w:spacing w:before="300" w:after="0" w:line="240" w:lineRule="auto"/>
              <w:jc w:val="right"/>
              <w:rPr>
                <w:rFonts w:ascii="Times New Roman" w:eastAsia="Times New Roman" w:hAnsi="Times New Roman" w:cs="Times New Roman"/>
                <w:sz w:val="24"/>
                <w:szCs w:val="24"/>
                <w:lang w:eastAsia="ru-RU"/>
              </w:rPr>
            </w:pPr>
            <w:r w:rsidRPr="00FC2A10">
              <w:rPr>
                <w:rFonts w:ascii="Times New Roman" w:eastAsia="Times New Roman" w:hAnsi="Times New Roman" w:cs="Times New Roman"/>
                <w:sz w:val="24"/>
                <w:szCs w:val="24"/>
                <w:lang w:eastAsia="ru-RU"/>
              </w:rPr>
              <w:br/>
            </w:r>
            <w:r w:rsidRPr="00FC2A10">
              <w:rPr>
                <w:rFonts w:ascii="Times New Roman" w:eastAsia="Times New Roman" w:hAnsi="Times New Roman" w:cs="Times New Roman"/>
                <w:b/>
                <w:bCs/>
                <w:color w:val="000000"/>
                <w:sz w:val="24"/>
                <w:szCs w:val="24"/>
                <w:lang w:eastAsia="ru-RU"/>
              </w:rPr>
              <w:t>А. Гаврилюк</w:t>
            </w:r>
          </w:p>
        </w:tc>
      </w:tr>
    </w:tbl>
    <w:p w:rsidR="00803826" w:rsidRDefault="00803826"/>
    <w:sectPr w:rsidR="008038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10"/>
    <w:rsid w:val="00803826"/>
    <w:rsid w:val="00A55A90"/>
    <w:rsid w:val="00FC2A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16521-174F-4BFD-B95F-2B15A1489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FC2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C2A10"/>
  </w:style>
  <w:style w:type="paragraph" w:customStyle="1" w:styleId="rvps4">
    <w:name w:val="rvps4"/>
    <w:basedOn w:val="a"/>
    <w:rsid w:val="00FC2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FC2A10"/>
  </w:style>
  <w:style w:type="paragraph" w:customStyle="1" w:styleId="rvps7">
    <w:name w:val="rvps7"/>
    <w:basedOn w:val="a"/>
    <w:rsid w:val="00FC2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C2A10"/>
  </w:style>
  <w:style w:type="paragraph" w:customStyle="1" w:styleId="rvps14">
    <w:name w:val="rvps14"/>
    <w:basedOn w:val="a"/>
    <w:rsid w:val="00FC2A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FC2A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FC2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C2A10"/>
    <w:rPr>
      <w:color w:val="0000FF"/>
      <w:u w:val="single"/>
    </w:rPr>
  </w:style>
  <w:style w:type="character" w:customStyle="1" w:styleId="rvts52">
    <w:name w:val="rvts52"/>
    <w:basedOn w:val="a0"/>
    <w:rsid w:val="00FC2A10"/>
  </w:style>
  <w:style w:type="character" w:customStyle="1" w:styleId="rvts44">
    <w:name w:val="rvts44"/>
    <w:basedOn w:val="a0"/>
    <w:rsid w:val="00FC2A10"/>
  </w:style>
  <w:style w:type="paragraph" w:customStyle="1" w:styleId="rvps15">
    <w:name w:val="rvps15"/>
    <w:basedOn w:val="a"/>
    <w:rsid w:val="00FC2A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
    <w:name w:val="rvps11"/>
    <w:basedOn w:val="a"/>
    <w:rsid w:val="00FC2A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basedOn w:val="a0"/>
    <w:rsid w:val="00FC2A10"/>
  </w:style>
  <w:style w:type="paragraph" w:customStyle="1" w:styleId="rvps12">
    <w:name w:val="rvps12"/>
    <w:basedOn w:val="a"/>
    <w:rsid w:val="00FC2A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538260">
      <w:bodyDiv w:val="1"/>
      <w:marLeft w:val="0"/>
      <w:marRight w:val="0"/>
      <w:marTop w:val="0"/>
      <w:marBottom w:val="0"/>
      <w:divBdr>
        <w:top w:val="none" w:sz="0" w:space="0" w:color="auto"/>
        <w:left w:val="none" w:sz="0" w:space="0" w:color="auto"/>
        <w:bottom w:val="none" w:sz="0" w:space="0" w:color="auto"/>
        <w:right w:val="none" w:sz="0" w:space="0" w:color="auto"/>
      </w:divBdr>
      <w:divsChild>
        <w:div w:id="803423862">
          <w:marLeft w:val="0"/>
          <w:marRight w:val="0"/>
          <w:marTop w:val="150"/>
          <w:marBottom w:val="150"/>
          <w:divBdr>
            <w:top w:val="none" w:sz="0" w:space="0" w:color="auto"/>
            <w:left w:val="none" w:sz="0" w:space="0" w:color="auto"/>
            <w:bottom w:val="none" w:sz="0" w:space="0" w:color="auto"/>
            <w:right w:val="none" w:sz="0" w:space="0" w:color="auto"/>
          </w:divBdr>
        </w:div>
        <w:div w:id="1610165480">
          <w:marLeft w:val="0"/>
          <w:marRight w:val="0"/>
          <w:marTop w:val="0"/>
          <w:marBottom w:val="150"/>
          <w:divBdr>
            <w:top w:val="none" w:sz="0" w:space="0" w:color="auto"/>
            <w:left w:val="none" w:sz="0" w:space="0" w:color="auto"/>
            <w:bottom w:val="none" w:sz="0" w:space="0" w:color="auto"/>
            <w:right w:val="none" w:sz="0" w:space="0" w:color="auto"/>
          </w:divBdr>
        </w:div>
        <w:div w:id="342971702">
          <w:marLeft w:val="0"/>
          <w:marRight w:val="0"/>
          <w:marTop w:val="0"/>
          <w:marBottom w:val="150"/>
          <w:divBdr>
            <w:top w:val="none" w:sz="0" w:space="0" w:color="auto"/>
            <w:left w:val="none" w:sz="0" w:space="0" w:color="auto"/>
            <w:bottom w:val="none" w:sz="0" w:space="0" w:color="auto"/>
            <w:right w:val="none" w:sz="0" w:space="0" w:color="auto"/>
          </w:divBdr>
        </w:div>
        <w:div w:id="233859527">
          <w:marLeft w:val="0"/>
          <w:marRight w:val="0"/>
          <w:marTop w:val="0"/>
          <w:marBottom w:val="150"/>
          <w:divBdr>
            <w:top w:val="none" w:sz="0" w:space="0" w:color="auto"/>
            <w:left w:val="none" w:sz="0" w:space="0" w:color="auto"/>
            <w:bottom w:val="none" w:sz="0" w:space="0" w:color="auto"/>
            <w:right w:val="none" w:sz="0" w:space="0" w:color="auto"/>
          </w:divBdr>
        </w:div>
        <w:div w:id="2091461535">
          <w:marLeft w:val="0"/>
          <w:marRight w:val="0"/>
          <w:marTop w:val="0"/>
          <w:marBottom w:val="150"/>
          <w:divBdr>
            <w:top w:val="none" w:sz="0" w:space="0" w:color="auto"/>
            <w:left w:val="none" w:sz="0" w:space="0" w:color="auto"/>
            <w:bottom w:val="none" w:sz="0" w:space="0" w:color="auto"/>
            <w:right w:val="none" w:sz="0" w:space="0" w:color="auto"/>
          </w:divBdr>
        </w:div>
        <w:div w:id="448547165">
          <w:marLeft w:val="0"/>
          <w:marRight w:val="0"/>
          <w:marTop w:val="0"/>
          <w:marBottom w:val="150"/>
          <w:divBdr>
            <w:top w:val="none" w:sz="0" w:space="0" w:color="auto"/>
            <w:left w:val="none" w:sz="0" w:space="0" w:color="auto"/>
            <w:bottom w:val="none" w:sz="0" w:space="0" w:color="auto"/>
            <w:right w:val="none" w:sz="0" w:space="0" w:color="auto"/>
          </w:divBdr>
        </w:div>
        <w:div w:id="851140968">
          <w:marLeft w:val="0"/>
          <w:marRight w:val="0"/>
          <w:marTop w:val="0"/>
          <w:marBottom w:val="150"/>
          <w:divBdr>
            <w:top w:val="none" w:sz="0" w:space="0" w:color="auto"/>
            <w:left w:val="none" w:sz="0" w:space="0" w:color="auto"/>
            <w:bottom w:val="none" w:sz="0" w:space="0" w:color="auto"/>
            <w:right w:val="none" w:sz="0" w:space="0" w:color="auto"/>
          </w:divBdr>
        </w:div>
        <w:div w:id="1713073999">
          <w:marLeft w:val="0"/>
          <w:marRight w:val="0"/>
          <w:marTop w:val="0"/>
          <w:marBottom w:val="150"/>
          <w:divBdr>
            <w:top w:val="none" w:sz="0" w:space="0" w:color="auto"/>
            <w:left w:val="none" w:sz="0" w:space="0" w:color="auto"/>
            <w:bottom w:val="none" w:sz="0" w:space="0" w:color="auto"/>
            <w:right w:val="none" w:sz="0" w:space="0" w:color="auto"/>
          </w:divBdr>
        </w:div>
        <w:div w:id="1179855247">
          <w:marLeft w:val="0"/>
          <w:marRight w:val="0"/>
          <w:marTop w:val="0"/>
          <w:marBottom w:val="150"/>
          <w:divBdr>
            <w:top w:val="none" w:sz="0" w:space="0" w:color="auto"/>
            <w:left w:val="none" w:sz="0" w:space="0" w:color="auto"/>
            <w:bottom w:val="none" w:sz="0" w:space="0" w:color="auto"/>
            <w:right w:val="none" w:sz="0" w:space="0" w:color="auto"/>
          </w:divBdr>
        </w:div>
        <w:div w:id="1230505783">
          <w:marLeft w:val="0"/>
          <w:marRight w:val="0"/>
          <w:marTop w:val="0"/>
          <w:marBottom w:val="150"/>
          <w:divBdr>
            <w:top w:val="none" w:sz="0" w:space="0" w:color="auto"/>
            <w:left w:val="none" w:sz="0" w:space="0" w:color="auto"/>
            <w:bottom w:val="none" w:sz="0" w:space="0" w:color="auto"/>
            <w:right w:val="none" w:sz="0" w:space="0" w:color="auto"/>
          </w:divBdr>
        </w:div>
        <w:div w:id="2002730763">
          <w:marLeft w:val="0"/>
          <w:marRight w:val="0"/>
          <w:marTop w:val="0"/>
          <w:marBottom w:val="150"/>
          <w:divBdr>
            <w:top w:val="none" w:sz="0" w:space="0" w:color="auto"/>
            <w:left w:val="none" w:sz="0" w:space="0" w:color="auto"/>
            <w:bottom w:val="none" w:sz="0" w:space="0" w:color="auto"/>
            <w:right w:val="none" w:sz="0" w:space="0" w:color="auto"/>
          </w:divBdr>
        </w:div>
        <w:div w:id="889465200">
          <w:marLeft w:val="0"/>
          <w:marRight w:val="0"/>
          <w:marTop w:val="0"/>
          <w:marBottom w:val="150"/>
          <w:divBdr>
            <w:top w:val="none" w:sz="0" w:space="0" w:color="auto"/>
            <w:left w:val="none" w:sz="0" w:space="0" w:color="auto"/>
            <w:bottom w:val="none" w:sz="0" w:space="0" w:color="auto"/>
            <w:right w:val="none" w:sz="0" w:space="0" w:color="auto"/>
          </w:divBdr>
        </w:div>
        <w:div w:id="345257887">
          <w:marLeft w:val="0"/>
          <w:marRight w:val="0"/>
          <w:marTop w:val="0"/>
          <w:marBottom w:val="150"/>
          <w:divBdr>
            <w:top w:val="none" w:sz="0" w:space="0" w:color="auto"/>
            <w:left w:val="none" w:sz="0" w:space="0" w:color="auto"/>
            <w:bottom w:val="none" w:sz="0" w:space="0" w:color="auto"/>
            <w:right w:val="none" w:sz="0" w:space="0" w:color="auto"/>
          </w:divBdr>
        </w:div>
        <w:div w:id="54597073">
          <w:marLeft w:val="0"/>
          <w:marRight w:val="0"/>
          <w:marTop w:val="0"/>
          <w:marBottom w:val="150"/>
          <w:divBdr>
            <w:top w:val="none" w:sz="0" w:space="0" w:color="auto"/>
            <w:left w:val="none" w:sz="0" w:space="0" w:color="auto"/>
            <w:bottom w:val="none" w:sz="0" w:space="0" w:color="auto"/>
            <w:right w:val="none" w:sz="0" w:space="0" w:color="auto"/>
          </w:divBdr>
        </w:div>
        <w:div w:id="1203596225">
          <w:marLeft w:val="0"/>
          <w:marRight w:val="0"/>
          <w:marTop w:val="0"/>
          <w:marBottom w:val="150"/>
          <w:divBdr>
            <w:top w:val="none" w:sz="0" w:space="0" w:color="auto"/>
            <w:left w:val="none" w:sz="0" w:space="0" w:color="auto"/>
            <w:bottom w:val="none" w:sz="0" w:space="0" w:color="auto"/>
            <w:right w:val="none" w:sz="0" w:space="0" w:color="auto"/>
          </w:divBdr>
        </w:div>
        <w:div w:id="1244142613">
          <w:marLeft w:val="0"/>
          <w:marRight w:val="0"/>
          <w:marTop w:val="0"/>
          <w:marBottom w:val="150"/>
          <w:divBdr>
            <w:top w:val="none" w:sz="0" w:space="0" w:color="auto"/>
            <w:left w:val="none" w:sz="0" w:space="0" w:color="auto"/>
            <w:bottom w:val="none" w:sz="0" w:space="0" w:color="auto"/>
            <w:right w:val="none" w:sz="0" w:space="0" w:color="auto"/>
          </w:divBdr>
        </w:div>
        <w:div w:id="1424914801">
          <w:marLeft w:val="0"/>
          <w:marRight w:val="0"/>
          <w:marTop w:val="0"/>
          <w:marBottom w:val="150"/>
          <w:divBdr>
            <w:top w:val="none" w:sz="0" w:space="0" w:color="auto"/>
            <w:left w:val="none" w:sz="0" w:space="0" w:color="auto"/>
            <w:bottom w:val="none" w:sz="0" w:space="0" w:color="auto"/>
            <w:right w:val="none" w:sz="0" w:space="0" w:color="auto"/>
          </w:divBdr>
        </w:div>
        <w:div w:id="1572765027">
          <w:marLeft w:val="0"/>
          <w:marRight w:val="0"/>
          <w:marTop w:val="0"/>
          <w:marBottom w:val="150"/>
          <w:divBdr>
            <w:top w:val="none" w:sz="0" w:space="0" w:color="auto"/>
            <w:left w:val="none" w:sz="0" w:space="0" w:color="auto"/>
            <w:bottom w:val="none" w:sz="0" w:space="0" w:color="auto"/>
            <w:right w:val="none" w:sz="0" w:space="0" w:color="auto"/>
          </w:divBdr>
        </w:div>
        <w:div w:id="551190499">
          <w:marLeft w:val="0"/>
          <w:marRight w:val="0"/>
          <w:marTop w:val="0"/>
          <w:marBottom w:val="150"/>
          <w:divBdr>
            <w:top w:val="none" w:sz="0" w:space="0" w:color="auto"/>
            <w:left w:val="none" w:sz="0" w:space="0" w:color="auto"/>
            <w:bottom w:val="none" w:sz="0" w:space="0" w:color="auto"/>
            <w:right w:val="none" w:sz="0" w:space="0" w:color="auto"/>
          </w:divBdr>
        </w:div>
        <w:div w:id="1280260872">
          <w:marLeft w:val="0"/>
          <w:marRight w:val="0"/>
          <w:marTop w:val="0"/>
          <w:marBottom w:val="150"/>
          <w:divBdr>
            <w:top w:val="none" w:sz="0" w:space="0" w:color="auto"/>
            <w:left w:val="none" w:sz="0" w:space="0" w:color="auto"/>
            <w:bottom w:val="none" w:sz="0" w:space="0" w:color="auto"/>
            <w:right w:val="none" w:sz="0" w:space="0" w:color="auto"/>
          </w:divBdr>
        </w:div>
        <w:div w:id="122889464">
          <w:marLeft w:val="0"/>
          <w:marRight w:val="0"/>
          <w:marTop w:val="0"/>
          <w:marBottom w:val="150"/>
          <w:divBdr>
            <w:top w:val="none" w:sz="0" w:space="0" w:color="auto"/>
            <w:left w:val="none" w:sz="0" w:space="0" w:color="auto"/>
            <w:bottom w:val="none" w:sz="0" w:space="0" w:color="auto"/>
            <w:right w:val="none" w:sz="0" w:space="0" w:color="auto"/>
          </w:divBdr>
        </w:div>
        <w:div w:id="1832023771">
          <w:marLeft w:val="0"/>
          <w:marRight w:val="0"/>
          <w:marTop w:val="0"/>
          <w:marBottom w:val="150"/>
          <w:divBdr>
            <w:top w:val="none" w:sz="0" w:space="0" w:color="auto"/>
            <w:left w:val="none" w:sz="0" w:space="0" w:color="auto"/>
            <w:bottom w:val="none" w:sz="0" w:space="0" w:color="auto"/>
            <w:right w:val="none" w:sz="0" w:space="0" w:color="auto"/>
          </w:divBdr>
        </w:div>
        <w:div w:id="210459819">
          <w:marLeft w:val="0"/>
          <w:marRight w:val="0"/>
          <w:marTop w:val="150"/>
          <w:marBottom w:val="150"/>
          <w:divBdr>
            <w:top w:val="none" w:sz="0" w:space="0" w:color="auto"/>
            <w:left w:val="none" w:sz="0" w:space="0" w:color="auto"/>
            <w:bottom w:val="none" w:sz="0" w:space="0" w:color="auto"/>
            <w:right w:val="none" w:sz="0" w:space="0" w:color="auto"/>
          </w:divBdr>
        </w:div>
        <w:div w:id="627593795">
          <w:marLeft w:val="0"/>
          <w:marRight w:val="0"/>
          <w:marTop w:val="0"/>
          <w:marBottom w:val="150"/>
          <w:divBdr>
            <w:top w:val="none" w:sz="0" w:space="0" w:color="auto"/>
            <w:left w:val="none" w:sz="0" w:space="0" w:color="auto"/>
            <w:bottom w:val="none" w:sz="0" w:space="0" w:color="auto"/>
            <w:right w:val="none" w:sz="0" w:space="0" w:color="auto"/>
          </w:divBdr>
        </w:div>
        <w:div w:id="141423387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173-16" TargetMode="External"/><Relationship Id="rId3" Type="http://schemas.openxmlformats.org/officeDocument/2006/relationships/webSettings" Target="webSettings.xml"/><Relationship Id="rId7" Type="http://schemas.openxmlformats.org/officeDocument/2006/relationships/hyperlink" Target="https://zakon.rada.gov.ua/laws/show/298-2011-%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298-2011-%D0%BF" TargetMode="External"/><Relationship Id="rId5" Type="http://schemas.openxmlformats.org/officeDocument/2006/relationships/hyperlink" Target="https://zakon.rada.gov.ua/laws/show/267-2015-%D0%BF" TargetMode="External"/><Relationship Id="rId10" Type="http://schemas.openxmlformats.org/officeDocument/2006/relationships/theme" Target="theme/theme1.xml"/><Relationship Id="rId4" Type="http://schemas.openxmlformats.org/officeDocument/2006/relationships/hyperlink" Target="https://zakon.rada.gov.ua/laws/show/267-2015-%D0%BF"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3824</Words>
  <Characters>21798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Волчик</dc:creator>
  <cp:keywords/>
  <dc:description/>
  <cp:lastModifiedBy>Ирина Волчик</cp:lastModifiedBy>
  <cp:revision>1</cp:revision>
  <dcterms:created xsi:type="dcterms:W3CDTF">2019-06-14T14:29:00Z</dcterms:created>
  <dcterms:modified xsi:type="dcterms:W3CDTF">2019-06-14T14:30:00Z</dcterms:modified>
</cp:coreProperties>
</file>