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30" w:rsidRPr="00A76F30" w:rsidRDefault="00A76F30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</w:p>
    <w:p w:rsidR="00C3792A" w:rsidRDefault="00C3792A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val="uk-UA" w:eastAsia="ru-RU"/>
        </w:rPr>
      </w:pPr>
      <w:r w:rsidRPr="00C3792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КАБІНЕТ МІНІ</w:t>
      </w:r>
      <w:proofErr w:type="gramStart"/>
      <w:r w:rsidRPr="00C3792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СТР</w:t>
      </w:r>
      <w:proofErr w:type="gramEnd"/>
      <w:r w:rsidRPr="00C3792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ІВ </w:t>
      </w:r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</w:p>
    <w:p w:rsidR="00A76F30" w:rsidRPr="00A76F30" w:rsidRDefault="00A76F30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bookmarkStart w:id="0" w:name="_GoBack"/>
      <w:bookmarkEnd w:id="0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ПОСТАНОВА</w:t>
      </w:r>
    </w:p>
    <w:p w:rsidR="00A76F30" w:rsidRPr="00A76F30" w:rsidRDefault="00A76F30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05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червня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2019 р. № 465</w:t>
      </w:r>
    </w:p>
    <w:p w:rsidR="00A76F30" w:rsidRPr="00A76F30" w:rsidRDefault="00A76F30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Киї</w:t>
      </w:r>
      <w:proofErr w:type="gram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</w:t>
      </w:r>
      <w:proofErr w:type="spellEnd"/>
      <w:proofErr w:type="gramEnd"/>
    </w:p>
    <w:p w:rsidR="00A76F30" w:rsidRPr="00A76F30" w:rsidRDefault="00A76F30" w:rsidP="00C3792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</w:p>
    <w:p w:rsidR="00A76F30" w:rsidRPr="00A76F30" w:rsidRDefault="00A76F30" w:rsidP="00A76F30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затвердження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критеріїв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за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якими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оцінюється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ступінь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ризику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провадження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господарської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діяльності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у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виробництва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оптової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роздрібної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торгі</w:t>
      </w:r>
      <w:proofErr w:type="gram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вл</w:t>
      </w:r>
      <w:proofErr w:type="gram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лікарськими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засобами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імпорту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крім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активних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фармацевтичних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інгредієнтів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) та у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контролю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якості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визначається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періодичність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планових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державного</w:t>
      </w:r>
      <w:proofErr w:type="gram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(контролю) Державною службою з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контролю за наркотиками</w:t>
      </w:r>
    </w:p>
    <w:p w:rsidR="00A76F30" w:rsidRPr="00A76F30" w:rsidRDefault="00A76F30" w:rsidP="00A76F30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частини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другої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5 Закону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основні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засади державного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(контролю) у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господарської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діяльності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A76F30" w:rsidRPr="00A76F30" w:rsidRDefault="00A76F30" w:rsidP="00A76F3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критерії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за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якими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оцінюється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ступінь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ризику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провадження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господарської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діяльності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у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виробництва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оптової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роздрібної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торгі</w:t>
      </w:r>
      <w:proofErr w:type="gram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</w:t>
      </w:r>
      <w:proofErr w:type="gram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лікарськими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засобами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імпорту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крім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активних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фармацевтичних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інгредієнтів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) та у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контролю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якості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визначається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періодичність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планових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державного</w:t>
      </w:r>
      <w:proofErr w:type="gram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(контролю) Державною службою з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контролю за наркотиками,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A76F30" w:rsidRPr="00A76F30" w:rsidRDefault="00A76F30" w:rsidP="00A76F3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proofErr w:type="gram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</w:t>
      </w:r>
      <w:proofErr w:type="gram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ідпункти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6 і 7 пункту 1,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абзаци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п’ятий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шостий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пункту 3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додатка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постанови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10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вересня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2008 р. № 843 “Про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критерію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за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яким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оцінюється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ступінь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ризику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провадження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діяльності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у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сфері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безпеки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життя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населення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визначається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періодичність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планових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державного</w:t>
      </w:r>
      <w:proofErr w:type="gram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(контролю)” (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Офіційний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вісник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2008 р., № 72, ст. 2427) </w:t>
      </w:r>
      <w:proofErr w:type="spellStart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виключити</w:t>
      </w:r>
      <w:proofErr w:type="spellEnd"/>
      <w:r w:rsidRPr="00A76F3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A76F30" w:rsidRPr="00A76F30" w:rsidRDefault="00A76F30" w:rsidP="00A76F30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A76F3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>В. ГРОЙСМАН</w:t>
      </w:r>
    </w:p>
    <w:p w:rsidR="003B32AD" w:rsidRDefault="003B32AD">
      <w:pPr>
        <w:rPr>
          <w:lang w:val="uk-UA"/>
        </w:rPr>
      </w:pPr>
    </w:p>
    <w:p w:rsidR="00C3792A" w:rsidRDefault="00C3792A">
      <w:pPr>
        <w:rPr>
          <w:lang w:val="uk-UA"/>
        </w:rPr>
      </w:pPr>
      <w:r>
        <w:rPr>
          <w:lang w:val="uk-UA"/>
        </w:rPr>
        <w:br w:type="page"/>
      </w:r>
    </w:p>
    <w:p w:rsidR="00C3792A" w:rsidRPr="00051BBB" w:rsidRDefault="00C3792A" w:rsidP="00051BBB">
      <w:pPr>
        <w:pStyle w:val="ShapkaDocumentu"/>
      </w:pPr>
      <w:r w:rsidRPr="00051BBB">
        <w:lastRenderedPageBreak/>
        <w:t>ЗАТВЕРДЖЕНО</w:t>
      </w:r>
      <w:r w:rsidRPr="00051BBB">
        <w:br/>
        <w:t>постановою Кабінету Міністрів України</w:t>
      </w:r>
      <w:r w:rsidRPr="00051BBB">
        <w:br/>
        <w:t xml:space="preserve">від </w:t>
      </w:r>
      <w:r>
        <w:t xml:space="preserve">5 червня </w:t>
      </w:r>
      <w:r w:rsidRPr="00051BBB">
        <w:t>2019 р. №</w:t>
      </w:r>
      <w:r>
        <w:t xml:space="preserve"> 465</w:t>
      </w:r>
    </w:p>
    <w:p w:rsidR="00C3792A" w:rsidRPr="00051BBB" w:rsidRDefault="00C3792A" w:rsidP="00051BBB">
      <w:pPr>
        <w:pStyle w:val="a6"/>
        <w:rPr>
          <w:b w:val="0"/>
          <w:szCs w:val="26"/>
        </w:rPr>
      </w:pPr>
      <w:r w:rsidRPr="00051BBB">
        <w:rPr>
          <w:b w:val="0"/>
          <w:szCs w:val="26"/>
        </w:rPr>
        <w:t>КРИТЕРІЇ,</w:t>
      </w:r>
      <w:r w:rsidRPr="00051BBB">
        <w:rPr>
          <w:b w:val="0"/>
          <w:szCs w:val="26"/>
        </w:rPr>
        <w:br/>
        <w:t xml:space="preserve">за якими оцінюється ступінь ризику від провадження </w:t>
      </w:r>
      <w:r w:rsidRPr="00051BBB">
        <w:rPr>
          <w:b w:val="0"/>
          <w:szCs w:val="26"/>
        </w:rPr>
        <w:br/>
        <w:t xml:space="preserve">господарської діяльності у сфері виробництва лікарських </w:t>
      </w:r>
      <w:r w:rsidRPr="00051BBB">
        <w:rPr>
          <w:b w:val="0"/>
          <w:szCs w:val="26"/>
        </w:rPr>
        <w:br/>
        <w:t xml:space="preserve">засобів, оптової та роздрібної торгівлі лікарськими засобами, </w:t>
      </w:r>
      <w:r w:rsidRPr="00051BBB">
        <w:rPr>
          <w:b w:val="0"/>
          <w:szCs w:val="26"/>
        </w:rPr>
        <w:br/>
        <w:t xml:space="preserve">імпорту лікарських засобів (крім активних фармацевтичних </w:t>
      </w:r>
      <w:r w:rsidRPr="00051BBB">
        <w:rPr>
          <w:b w:val="0"/>
          <w:szCs w:val="26"/>
        </w:rPr>
        <w:br/>
        <w:t xml:space="preserve">інгредієнтів) та у сфері контролю якості лікарських засобів і </w:t>
      </w:r>
      <w:r w:rsidRPr="00051BBB">
        <w:rPr>
          <w:b w:val="0"/>
          <w:szCs w:val="26"/>
        </w:rPr>
        <w:br/>
        <w:t xml:space="preserve">визначається періодичність здійснення планових заходів державного </w:t>
      </w:r>
      <w:r w:rsidRPr="00051BBB">
        <w:rPr>
          <w:b w:val="0"/>
          <w:szCs w:val="26"/>
        </w:rPr>
        <w:br/>
        <w:t xml:space="preserve">нагляду (контролю) Державною службою з лікарських засобів та </w:t>
      </w:r>
      <w:r w:rsidRPr="00051BBB">
        <w:rPr>
          <w:b w:val="0"/>
          <w:szCs w:val="26"/>
        </w:rPr>
        <w:br/>
        <w:t>контролю за наркотиками</w:t>
      </w:r>
    </w:p>
    <w:p w:rsidR="00C3792A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1. Критеріями, за якими оцінюється ступінь ризику від провадження господарської діяльності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та у сфері контролю якості лікарських засобів</w:t>
      </w:r>
      <w:r w:rsidRPr="00020498">
        <w:rPr>
          <w:szCs w:val="26"/>
        </w:rPr>
        <w:t xml:space="preserve"> </w:t>
      </w:r>
      <w:r>
        <w:rPr>
          <w:szCs w:val="26"/>
        </w:rPr>
        <w:t xml:space="preserve">і </w:t>
      </w:r>
      <w:r w:rsidRPr="00020498">
        <w:rPr>
          <w:szCs w:val="26"/>
        </w:rPr>
        <w:t>визначається періодичність здійснення планових заходів державного нагляду (контролю)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Держлікслужбою</w:t>
      </w:r>
      <w:proofErr w:type="spellEnd"/>
      <w:r w:rsidRPr="00051BBB">
        <w:rPr>
          <w:szCs w:val="26"/>
        </w:rPr>
        <w:t>, є: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вид господарської діяльності, який провадить суб’єкт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 xml:space="preserve">кількість аптечних закладів </w:t>
      </w:r>
      <w:r w:rsidRPr="00051BBB">
        <w:rPr>
          <w:color w:val="000000"/>
          <w:szCs w:val="26"/>
        </w:rPr>
        <w:t>у суб`єкта господарювання</w:t>
      </w:r>
      <w:r w:rsidRPr="00051BBB">
        <w:rPr>
          <w:szCs w:val="26"/>
        </w:rPr>
        <w:t>, через які провадиться господарська діяльність з оптової та/або роздрібної торгівлі лікарськими засобами;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вид лікарських засобів, виробництво яких здійснюється суб’єктом господарювання;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система оподаткування, яка застосовується суб’єктом господарювання;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наявність системи управління якістю продукції, що відповідає стандартам;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наявність порушень вимог законодавства у сфері виробництва лікарських засобів (промислового), виявлених за результатами попереднього заходу державного нагляду (контролю);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наявність порушень вимог законодавства у сфері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виявлених за результатами попереднього заходу державного нагляду (контролю);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 xml:space="preserve">наявність рішення про встановлення заборони обігу лікарського засобу, виробленого або ввезеного суб’єктом господарювання, або наявність </w:t>
      </w:r>
      <w:r w:rsidRPr="00051BBB">
        <w:rPr>
          <w:szCs w:val="26"/>
        </w:rPr>
        <w:lastRenderedPageBreak/>
        <w:t>негативного висновку про якість ввезеного в Україну лікарського засобу, виданого протягом останніх трьох років, що передують плановому періоду;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наявність випадку притягнення посадових осіб суб’єкта господарювання до адміністративної відповідальності за порушення вимог законодавства у сфері контролю якості лікарських засобів протягом останніх трьох років, що передують плановому періоду.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2. Ризики настання негативних наслідків від провадження господарської діяльності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та у сфері контролю якості лікарських засобів визначено у додатку 1.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3. Перелік критеріїв, за якими оцінюється ступінь ризику від провадження господарської діяльності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та у сфері контролю якості лікарських засобів, їх показники та кількість балів за кожним показником визначено у додатку 2.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4. Відповідно до встановлених критеріїв суб’єкти господарювання належать до одного з трьох ступенів ризику — високого, середнього або незначного.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5. Віднесення суб’єкта господарювання до високого, середнього або незначного ступеня ризику здійснюється з урахуванням суми балів, нарахованих за всіма критеріями, визначеними у додатку 2, за такою шкалою: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від 41 до 100 балів — до високого ступеня ризику;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від 21 до 40 балів — до середнього ступеня ризику;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від 0 до 20 балів — до незначного ступеня ризику.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6. У разі коли до діяльності суб’єкта господарювання за одним критерієм можна одночасно застосувати кілька показників, обирається показник критерію з найбільшою кількістю балів.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 xml:space="preserve">7. Планові заходи державного нагляду (контролю) за діяльністю суб’єктів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 здійснюються </w:t>
      </w:r>
      <w:proofErr w:type="spellStart"/>
      <w:r w:rsidRPr="00051BBB">
        <w:rPr>
          <w:szCs w:val="26"/>
        </w:rPr>
        <w:t>Держлікслужбою</w:t>
      </w:r>
      <w:proofErr w:type="spellEnd"/>
      <w:r w:rsidRPr="00051BBB">
        <w:rPr>
          <w:szCs w:val="26"/>
        </w:rPr>
        <w:t xml:space="preserve"> з такою періодичністю: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з високим ступенем ризику — не частіше одного разу на два роки;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із середнім ступенем ризику — не частіше одного разу на три роки;</w:t>
      </w:r>
    </w:p>
    <w:p w:rsidR="00C3792A" w:rsidRPr="00051BBB" w:rsidRDefault="00C3792A" w:rsidP="00051BBB">
      <w:pPr>
        <w:pStyle w:val="a5"/>
        <w:jc w:val="both"/>
        <w:rPr>
          <w:szCs w:val="26"/>
        </w:rPr>
      </w:pPr>
      <w:r w:rsidRPr="00051BBB">
        <w:rPr>
          <w:szCs w:val="26"/>
        </w:rPr>
        <w:t>з незначним ступенем ризику — не частіше одного разу на п’ять років.</w:t>
      </w:r>
    </w:p>
    <w:p w:rsidR="00C3792A" w:rsidRDefault="00C3792A" w:rsidP="00DC64C3">
      <w:pPr>
        <w:pStyle w:val="3"/>
        <w:spacing w:before="480"/>
        <w:ind w:left="0"/>
        <w:jc w:val="center"/>
        <w:rPr>
          <w:b w:val="0"/>
          <w:i w:val="0"/>
        </w:rPr>
        <w:sectPr w:rsidR="00C3792A" w:rsidSect="00F461A4">
          <w:headerReference w:type="even" r:id="rId5"/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C64C3">
        <w:rPr>
          <w:b w:val="0"/>
          <w:i w:val="0"/>
        </w:rPr>
        <w:t>_____________________</w:t>
      </w:r>
    </w:p>
    <w:p w:rsidR="00C3792A" w:rsidRPr="002732C4" w:rsidRDefault="00C3792A" w:rsidP="000617C0">
      <w:pPr>
        <w:pStyle w:val="ShapkaDocumentu"/>
        <w:ind w:left="11199"/>
        <w:rPr>
          <w:szCs w:val="26"/>
        </w:rPr>
      </w:pPr>
      <w:r w:rsidRPr="002732C4">
        <w:rPr>
          <w:szCs w:val="26"/>
        </w:rPr>
        <w:lastRenderedPageBreak/>
        <w:t xml:space="preserve">Додаток 1 </w:t>
      </w:r>
      <w:r w:rsidRPr="002732C4">
        <w:rPr>
          <w:szCs w:val="26"/>
        </w:rPr>
        <w:br/>
        <w:t>до критеріїв</w:t>
      </w:r>
    </w:p>
    <w:p w:rsidR="00C3792A" w:rsidRPr="002732C4" w:rsidRDefault="00C3792A" w:rsidP="000617C0">
      <w:pPr>
        <w:pStyle w:val="a6"/>
        <w:spacing w:before="120" w:after="120"/>
        <w:rPr>
          <w:b w:val="0"/>
          <w:szCs w:val="26"/>
        </w:rPr>
      </w:pPr>
      <w:r w:rsidRPr="002732C4">
        <w:rPr>
          <w:b w:val="0"/>
          <w:szCs w:val="26"/>
        </w:rPr>
        <w:t xml:space="preserve">РИЗИКИ </w:t>
      </w:r>
      <w:r w:rsidRPr="002732C4">
        <w:rPr>
          <w:b w:val="0"/>
          <w:szCs w:val="26"/>
        </w:rPr>
        <w:br/>
        <w:t xml:space="preserve">настання негативних наслідків від провадження господарської діяльності у сфері виробництва </w:t>
      </w:r>
      <w:r w:rsidRPr="002732C4">
        <w:rPr>
          <w:b w:val="0"/>
          <w:szCs w:val="26"/>
        </w:rPr>
        <w:br/>
        <w:t xml:space="preserve">лікарських засобів, оптової та роздрібної торгівлі лікарськими засобами, імпорту лікарських засобів </w:t>
      </w:r>
      <w:r w:rsidRPr="002732C4">
        <w:rPr>
          <w:b w:val="0"/>
          <w:szCs w:val="26"/>
        </w:rPr>
        <w:br/>
        <w:t>(крім активних фармацевтичних інгредієнтів) та у сфері контролю якості лікарських засобів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2964"/>
        <w:gridCol w:w="2964"/>
        <w:gridCol w:w="5849"/>
      </w:tblGrid>
      <w:tr w:rsidR="00C3792A" w:rsidRPr="002732C4" w:rsidTr="000411AC">
        <w:trPr>
          <w:trHeight w:val="20"/>
          <w:tblHeader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2732C4" w:rsidRDefault="00C3792A" w:rsidP="000411AC">
            <w:pPr>
              <w:pStyle w:val="a5"/>
              <w:ind w:left="35" w:hanging="2"/>
              <w:jc w:val="center"/>
              <w:rPr>
                <w:szCs w:val="26"/>
              </w:rPr>
            </w:pPr>
            <w:r w:rsidRPr="002732C4">
              <w:rPr>
                <w:szCs w:val="26"/>
              </w:rPr>
              <w:t>Цілі державного нагляду (контролю) (код)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2732C4" w:rsidRDefault="00C3792A" w:rsidP="000411AC">
            <w:pPr>
              <w:pStyle w:val="a5"/>
              <w:ind w:left="35" w:hanging="2"/>
              <w:jc w:val="center"/>
              <w:rPr>
                <w:szCs w:val="26"/>
              </w:rPr>
            </w:pPr>
            <w:r w:rsidRPr="002732C4">
              <w:rPr>
                <w:szCs w:val="26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92A" w:rsidRPr="002732C4" w:rsidRDefault="00C3792A" w:rsidP="000411AC">
            <w:pPr>
              <w:pStyle w:val="a5"/>
              <w:ind w:left="35" w:hanging="2"/>
              <w:jc w:val="center"/>
              <w:rPr>
                <w:szCs w:val="26"/>
              </w:rPr>
            </w:pPr>
            <w:r w:rsidRPr="002732C4">
              <w:rPr>
                <w:szCs w:val="26"/>
              </w:rPr>
              <w:t xml:space="preserve">Критерії, за якими оцінюється ступінь ризику </w:t>
            </w:r>
            <w:r>
              <w:rPr>
                <w:szCs w:val="26"/>
              </w:rPr>
              <w:br/>
            </w:r>
            <w:r w:rsidRPr="002732C4">
              <w:rPr>
                <w:szCs w:val="26"/>
              </w:rPr>
              <w:t>від провадження господарської діяльності та визначається періодичність здійснення планових заходів державного нагляду (контролю)</w:t>
            </w:r>
          </w:p>
        </w:tc>
      </w:tr>
      <w:tr w:rsidR="00C3792A" w:rsidRPr="002732C4" w:rsidTr="000411AC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2732C4" w:rsidRDefault="00C3792A" w:rsidP="000411AC">
            <w:pPr>
              <w:rPr>
                <w:szCs w:val="2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2732C4" w:rsidRDefault="00C3792A" w:rsidP="000411AC">
            <w:pPr>
              <w:pStyle w:val="a5"/>
              <w:ind w:left="35" w:hanging="2"/>
              <w:jc w:val="center"/>
              <w:rPr>
                <w:szCs w:val="26"/>
              </w:rPr>
            </w:pPr>
            <w:r w:rsidRPr="002732C4">
              <w:rPr>
                <w:szCs w:val="26"/>
              </w:rPr>
              <w:t>подія, що містить ризик настання негативних наслідків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2732C4" w:rsidRDefault="00C3792A" w:rsidP="000411AC">
            <w:pPr>
              <w:pStyle w:val="a5"/>
              <w:ind w:left="35" w:hanging="2"/>
              <w:jc w:val="center"/>
              <w:rPr>
                <w:szCs w:val="26"/>
              </w:rPr>
            </w:pPr>
            <w:r w:rsidRPr="002732C4">
              <w:rPr>
                <w:szCs w:val="26"/>
              </w:rPr>
              <w:t>негативний наслідок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92A" w:rsidRPr="002732C4" w:rsidRDefault="00C3792A" w:rsidP="000411AC">
            <w:pPr>
              <w:rPr>
                <w:szCs w:val="26"/>
              </w:rPr>
            </w:pPr>
          </w:p>
        </w:tc>
      </w:tr>
      <w:tr w:rsidR="00C3792A" w:rsidRPr="002732C4" w:rsidTr="000411AC">
        <w:trPr>
          <w:trHeight w:val="20"/>
          <w:jc w:val="center"/>
        </w:trPr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Життя та здоров’я людини (О1)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обіг неякісних лікарських засобів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смерть людини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погіршення стану здоров’я людини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скорочення тривалості життя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вид господарської діяльності, який провадить суб’єкт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 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кі</w:t>
            </w:r>
            <w:r>
              <w:rPr>
                <w:szCs w:val="26"/>
              </w:rPr>
              <w:t>лькість аптечних закладів у суб</w:t>
            </w:r>
            <w:r>
              <w:rPr>
                <w:rFonts w:ascii="Times New Roman" w:hAnsi="Times New Roman"/>
                <w:szCs w:val="26"/>
              </w:rPr>
              <w:t>’</w:t>
            </w:r>
            <w:r w:rsidRPr="002732C4">
              <w:rPr>
                <w:szCs w:val="26"/>
              </w:rPr>
              <w:t>єкта господарювання, через які провадиться господарська діяльність з оптової та/або роздрібної торгівлі лікарськими засобами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вид лікарських засобів, виробництво яких здійснюється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система оподаткування, яка застосовується 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lastRenderedPageBreak/>
              <w:t>наявність системи управління якістю продукції, що відповідає стандартам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порушень вимог законодавства у сфері виробництва лікарських засобів (промислового),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порушень вимог законодавства у сфері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рішення про встановлення заборони обігу лікарського засобу, виробленого або ввезеного суб’єктом господарювання, або наявність негативного висновку про якість ввезеного в Україну лікарського засобу, виданого протягом останніх трьох років, що передують плановому періоду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наявність випадку притягнення посадових осіб </w:t>
            </w:r>
            <w:r w:rsidRPr="002732C4">
              <w:rPr>
                <w:szCs w:val="26"/>
              </w:rPr>
              <w:lastRenderedPageBreak/>
              <w:t>суб’єкта господарювання до адміністративної відповідальності за порушення вимог законодавства у сфері контролю якості лікарських засобів протягом останніх трьох років, що передують плановому періоду</w:t>
            </w:r>
          </w:p>
        </w:tc>
      </w:tr>
      <w:tr w:rsidR="00C3792A" w:rsidRPr="002732C4" w:rsidTr="000411AC">
        <w:trPr>
          <w:trHeight w:val="20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lastRenderedPageBreak/>
              <w:t>Належна якість продукції, робіт та послуг (немайнові блага) (О2)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надання пацієнту неякісних послуг, пов’язаних з обігом лікарських засобів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моральна шкода, заподіяна пацієнту 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вид господарської діяльності, який провадить суб’єкт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 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кількість аптечних закладів у суб</w:t>
            </w:r>
            <w:r>
              <w:rPr>
                <w:rFonts w:ascii="Times New Roman" w:hAnsi="Times New Roman"/>
                <w:szCs w:val="26"/>
              </w:rPr>
              <w:t>’</w:t>
            </w:r>
            <w:r w:rsidRPr="002732C4">
              <w:rPr>
                <w:szCs w:val="26"/>
              </w:rPr>
              <w:t>єкта господарювання, через які провадиться господарська діяльність з оптової та/або роздрібної торгівлі лікарськими засобами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вид лікарських засобів, виробництво яких здійснюється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система оподаткування, яка застосовується 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системи управління якістю продукції, що відповідає стандартам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lastRenderedPageBreak/>
              <w:t>наявність порушень вимог законодавства у сфері виробництва лікарських засобів (промислового),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порушень вимог законодавства у сфері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рішення про встановлення заборони обігу лікарського засобу, виробленого або ввезеного суб’єктом господарювання, або наявність негативного висновку про якість ввезеного в Україну лікарського засобу, виданого протягом останніх трьох років, що передують плановому періоду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наявність випадку притягнення посадових осіб суб’єкта господарювання до адміністративної відповідальності за порушення вимог </w:t>
            </w:r>
            <w:r w:rsidRPr="002732C4">
              <w:rPr>
                <w:szCs w:val="26"/>
              </w:rPr>
              <w:lastRenderedPageBreak/>
              <w:t>законодавства у сфері контролю якості лікарських засобів протягом останніх трьох років, що передують плановому періоду</w:t>
            </w:r>
          </w:p>
        </w:tc>
      </w:tr>
      <w:tr w:rsidR="00C3792A" w:rsidRPr="002732C4" w:rsidTr="000411AC">
        <w:trPr>
          <w:trHeight w:val="20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lastRenderedPageBreak/>
              <w:t>Належна якість продукції, робіт та послуг (майнові блага) (О3)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обіг неякісних лікарських засобів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надання пацієнту неякісних послуг, пов’язаних з обігом лікарських засобів 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майнові збитки, завдані пацієнту 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вид господарської діяльності, який провадить суб’єкт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 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кі</w:t>
            </w:r>
            <w:r>
              <w:rPr>
                <w:szCs w:val="26"/>
              </w:rPr>
              <w:t>лькість аптечних закладів у суб</w:t>
            </w:r>
            <w:r>
              <w:rPr>
                <w:rFonts w:ascii="Times New Roman" w:hAnsi="Times New Roman"/>
                <w:szCs w:val="26"/>
              </w:rPr>
              <w:t>’</w:t>
            </w:r>
            <w:r w:rsidRPr="002732C4">
              <w:rPr>
                <w:szCs w:val="26"/>
              </w:rPr>
              <w:t>єкта господарювання, через які провадиться господарська діяльність з оптової та/або роздрібної торгівлі лікарськими засобами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вид лікарських засобів, виробництво яких здійснюється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система оподаткування, яка застосовується  суб’єктом господарювання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системи управління якістю продукції, що відповідає стандартам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наявність порушень вимог законодавства у сфері виробництва лікарських засобів </w:t>
            </w:r>
            <w:r w:rsidRPr="002732C4">
              <w:rPr>
                <w:szCs w:val="26"/>
              </w:rPr>
              <w:lastRenderedPageBreak/>
              <w:t>(промислового),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порушень вимог законодавства у сфері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виявлених за результатами попереднього заходу державного нагляду (контролю)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>наявність рішення про встановлення заборони обігу лікарського засобу, виробленого або ввезеного суб’єктом господарювання, або наявність негативного висновку про якість ввезеного в Україну лікарського засобу, виданого протягом останніх трьох років, що передують плановому періоду</w:t>
            </w:r>
          </w:p>
          <w:p w:rsidR="00C3792A" w:rsidRPr="002732C4" w:rsidRDefault="00C3792A" w:rsidP="000411AC">
            <w:pPr>
              <w:pStyle w:val="a5"/>
              <w:ind w:left="35" w:hanging="2"/>
              <w:rPr>
                <w:szCs w:val="26"/>
              </w:rPr>
            </w:pPr>
            <w:r w:rsidRPr="002732C4">
              <w:rPr>
                <w:szCs w:val="26"/>
              </w:rPr>
              <w:t xml:space="preserve">наявність випадку притягнення посадових осіб суб’єкта господарювання до адміністративної відповідальності за порушення вимог законодавства у сфері контролю якості лікарських засобів протягом останніх трьох </w:t>
            </w:r>
            <w:r w:rsidRPr="002732C4">
              <w:rPr>
                <w:szCs w:val="26"/>
              </w:rPr>
              <w:lastRenderedPageBreak/>
              <w:t>років, що передують плановому періоду</w:t>
            </w:r>
          </w:p>
        </w:tc>
      </w:tr>
    </w:tbl>
    <w:p w:rsidR="00C3792A" w:rsidRDefault="00C3792A" w:rsidP="000617C0">
      <w:pPr>
        <w:pStyle w:val="3"/>
        <w:spacing w:before="480"/>
        <w:ind w:left="0"/>
        <w:jc w:val="center"/>
        <w:rPr>
          <w:b w:val="0"/>
          <w:i w:val="0"/>
          <w:szCs w:val="26"/>
        </w:rPr>
        <w:sectPr w:rsidR="00C3792A" w:rsidSect="000617C0">
          <w:headerReference w:type="even" r:id="rId7"/>
          <w:headerReference w:type="default" r:id="rId8"/>
          <w:pgSz w:w="16838" w:h="11906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54"/>
        </w:sectPr>
      </w:pPr>
      <w:r w:rsidRPr="002732C4">
        <w:rPr>
          <w:b w:val="0"/>
          <w:i w:val="0"/>
          <w:szCs w:val="26"/>
        </w:rPr>
        <w:lastRenderedPageBreak/>
        <w:t>_____________________</w:t>
      </w:r>
    </w:p>
    <w:p w:rsidR="00C3792A" w:rsidRPr="00AA2FA8" w:rsidRDefault="00C3792A" w:rsidP="000617C0">
      <w:pPr>
        <w:pStyle w:val="ShapkaDocumentu"/>
        <w:ind w:left="10348"/>
        <w:rPr>
          <w:szCs w:val="26"/>
        </w:rPr>
      </w:pPr>
      <w:r w:rsidRPr="00AA2FA8">
        <w:rPr>
          <w:szCs w:val="26"/>
        </w:rPr>
        <w:lastRenderedPageBreak/>
        <w:t xml:space="preserve">Додаток 2 </w:t>
      </w:r>
      <w:r w:rsidRPr="00AA2FA8">
        <w:rPr>
          <w:szCs w:val="26"/>
        </w:rPr>
        <w:br/>
        <w:t>до критеріїв</w:t>
      </w:r>
    </w:p>
    <w:p w:rsidR="00C3792A" w:rsidRPr="00AA2FA8" w:rsidRDefault="00C3792A" w:rsidP="000617C0">
      <w:pPr>
        <w:pStyle w:val="a6"/>
        <w:rPr>
          <w:b w:val="0"/>
          <w:szCs w:val="26"/>
        </w:rPr>
      </w:pPr>
      <w:r w:rsidRPr="00AA2FA8">
        <w:rPr>
          <w:b w:val="0"/>
          <w:szCs w:val="26"/>
        </w:rPr>
        <w:t>ПЕРЕЛІК</w:t>
      </w:r>
      <w:r w:rsidRPr="00AA2FA8">
        <w:rPr>
          <w:b w:val="0"/>
          <w:szCs w:val="26"/>
        </w:rPr>
        <w:br/>
        <w:t xml:space="preserve"> критеріїв, за якими оцінюється ступінь ризику від провадження господарської діяльності </w:t>
      </w:r>
      <w:r w:rsidRPr="00AA2FA8">
        <w:rPr>
          <w:b w:val="0"/>
          <w:szCs w:val="26"/>
        </w:rPr>
        <w:br/>
        <w:t xml:space="preserve">у сфері виробництва лікарських засобів, оптової та роздрібної торгівлі лікарськими засобами, </w:t>
      </w:r>
      <w:r w:rsidRPr="00AA2FA8">
        <w:rPr>
          <w:b w:val="0"/>
          <w:szCs w:val="26"/>
        </w:rPr>
        <w:br/>
        <w:t xml:space="preserve">імпорту лікарських засобів (крім активних фармацевтичних інгредієнтів) та у сфері контролю </w:t>
      </w:r>
      <w:r w:rsidRPr="00AA2FA8">
        <w:rPr>
          <w:b w:val="0"/>
          <w:szCs w:val="26"/>
        </w:rPr>
        <w:br/>
        <w:t>якості лікарських засобів, їх показники та кількість балів за кожним показником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85"/>
        <w:gridCol w:w="6230"/>
        <w:gridCol w:w="1894"/>
      </w:tblGrid>
      <w:tr w:rsidR="00C3792A" w:rsidRPr="00AA2FA8" w:rsidTr="000411AC">
        <w:trPr>
          <w:tblHeader/>
        </w:trPr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Критерії,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(контролю)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Показники критеріїв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Кількість балів</w:t>
            </w:r>
          </w:p>
        </w:tc>
      </w:tr>
      <w:tr w:rsidR="00C3792A" w:rsidRPr="00AA2FA8" w:rsidTr="000411AC">
        <w:tc>
          <w:tcPr>
            <w:tcW w:w="65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1. Вид господарської діяльності, який провадить суб’єкт господарювання у сфері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у сфері контролю якості лікарських засобів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виробництво лікарських засобів (промислове)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25</w:t>
            </w:r>
          </w:p>
        </w:tc>
      </w:tr>
      <w:tr w:rsidR="00C3792A" w:rsidRPr="00AA2FA8" w:rsidTr="000411AC">
        <w:tc>
          <w:tcPr>
            <w:tcW w:w="6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імпорт лікарських засобів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20</w:t>
            </w:r>
          </w:p>
        </w:tc>
      </w:tr>
      <w:tr w:rsidR="00C3792A" w:rsidRPr="00AA2FA8" w:rsidTr="000411AC">
        <w:tc>
          <w:tcPr>
            <w:tcW w:w="6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оптова торгівля лікарськими засобами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20</w:t>
            </w:r>
          </w:p>
        </w:tc>
      </w:tr>
      <w:tr w:rsidR="00C3792A" w:rsidRPr="00AA2FA8" w:rsidTr="000411AC">
        <w:tc>
          <w:tcPr>
            <w:tcW w:w="6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виробництво лікарських засобів в умовах аптеки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12</w:t>
            </w:r>
          </w:p>
        </w:tc>
      </w:tr>
      <w:tr w:rsidR="00C3792A" w:rsidRPr="00AA2FA8" w:rsidTr="000411AC">
        <w:tc>
          <w:tcPr>
            <w:tcW w:w="6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зберігання та проведення контролю якості лікарських засобів у лікувально-профілактичних </w:t>
            </w:r>
            <w:r w:rsidRPr="00AA2FA8">
              <w:rPr>
                <w:szCs w:val="26"/>
              </w:rPr>
              <w:lastRenderedPageBreak/>
              <w:t>закладах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lastRenderedPageBreak/>
              <w:t>12</w:t>
            </w:r>
          </w:p>
        </w:tc>
      </w:tr>
      <w:tr w:rsidR="00C3792A" w:rsidRPr="00AA2FA8" w:rsidTr="000411AC">
        <w:tc>
          <w:tcPr>
            <w:tcW w:w="6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роздрібна торгівля лікарськими засобами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6</w:t>
            </w:r>
          </w:p>
        </w:tc>
      </w:tr>
      <w:tr w:rsidR="00C3792A" w:rsidRPr="00AA2FA8" w:rsidTr="000411AC">
        <w:tc>
          <w:tcPr>
            <w:tcW w:w="6585" w:type="dxa"/>
            <w:vMerge w:val="restart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2. Кі</w:t>
            </w:r>
            <w:r>
              <w:rPr>
                <w:szCs w:val="26"/>
              </w:rPr>
              <w:t>лькість аптечних закладів у суб</w:t>
            </w:r>
            <w:r>
              <w:rPr>
                <w:rFonts w:ascii="Times New Roman" w:hAnsi="Times New Roman"/>
                <w:szCs w:val="26"/>
              </w:rPr>
              <w:t>’</w:t>
            </w:r>
            <w:r w:rsidRPr="00AA2FA8">
              <w:rPr>
                <w:szCs w:val="26"/>
              </w:rPr>
              <w:t>єкта господарювання, через які провадиться господарська діяльність з оптової та/або роздрібної торгівлі лікарськими засобами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більше десяти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10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чотири</w:t>
            </w:r>
            <w:r>
              <w:rPr>
                <w:szCs w:val="26"/>
              </w:rPr>
              <w:t xml:space="preserve"> </w:t>
            </w:r>
            <w:r w:rsidRPr="00AA2FA8">
              <w:rPr>
                <w:szCs w:val="26"/>
              </w:rPr>
              <w:t>—</w:t>
            </w:r>
            <w:r>
              <w:rPr>
                <w:szCs w:val="26"/>
              </w:rPr>
              <w:t xml:space="preserve"> </w:t>
            </w:r>
            <w:r w:rsidRPr="00AA2FA8">
              <w:rPr>
                <w:szCs w:val="26"/>
              </w:rPr>
              <w:t>десять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7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один</w:t>
            </w:r>
            <w:r>
              <w:rPr>
                <w:szCs w:val="26"/>
              </w:rPr>
              <w:t xml:space="preserve"> </w:t>
            </w:r>
            <w:r w:rsidRPr="00AA2FA8">
              <w:rPr>
                <w:szCs w:val="26"/>
              </w:rPr>
              <w:t>—</w:t>
            </w:r>
            <w:r>
              <w:rPr>
                <w:szCs w:val="26"/>
              </w:rPr>
              <w:t xml:space="preserve"> </w:t>
            </w:r>
            <w:r w:rsidRPr="00AA2FA8">
              <w:rPr>
                <w:szCs w:val="26"/>
              </w:rPr>
              <w:t>три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3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відсутні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3. Вид лікарських засобів, виробництво яких здійснюється суб’єктом господарювання 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proofErr w:type="spellStart"/>
            <w:r w:rsidRPr="00AA2FA8">
              <w:rPr>
                <w:szCs w:val="26"/>
              </w:rPr>
              <w:t>парентеральні</w:t>
            </w:r>
            <w:proofErr w:type="spellEnd"/>
            <w:r w:rsidRPr="00AA2FA8">
              <w:rPr>
                <w:szCs w:val="26"/>
              </w:rPr>
              <w:t xml:space="preserve"> стерильні лікарські засоби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12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proofErr w:type="spellStart"/>
            <w:r w:rsidRPr="00AA2FA8">
              <w:rPr>
                <w:szCs w:val="26"/>
              </w:rPr>
              <w:t>непарентеральні</w:t>
            </w:r>
            <w:proofErr w:type="spellEnd"/>
            <w:r w:rsidRPr="00AA2FA8">
              <w:rPr>
                <w:szCs w:val="26"/>
              </w:rPr>
              <w:t xml:space="preserve"> стерильні лікарські засоби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10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всі інші нестерильні продукти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6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лікарські засоби рослинного походження; медичні гази; нестерильні лікарські засоби для зовнішнього застосування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2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лікарські засоби, які виробляються в умовах аптеки, або виробництво лікарських засобів не здійснюється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vMerge w:val="restart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4. Система оподаткування, яка застосовується суб’єктом господарювання 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спрощена система оподаткування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2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загальна система оподаткування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vMerge w:val="restart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5. Наявність системи управління якістю продукції, що відповідає стандартам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система управління якістю продукції відсутня та/або не підтверджена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10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інші документи, що підтверджують наявність системи управління якістю продукції та її відповідність стандартам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5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наявність сертифіката відповідності умов виробництва лікарських засобів вимогам належної виробничої практики або сертифіката відповідності вимогам належної практики дистрибуції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6. Наявність порушень вимог законодавства у сфері виробництва лікарських засобів (промислового), виявлених за результатами попереднього заходу державного нагляду (контролю)*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наявність критичного порушення вимог ліцензійних умов щодо виробництва лікарських засобів (промислового), виявлених за результатами попереднього заходу державного нагляду (контролю)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14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наявність не менше шести у сукупності за конкретними препаратами або процесами </w:t>
            </w:r>
            <w:r w:rsidRPr="00AA2FA8">
              <w:rPr>
                <w:szCs w:val="26"/>
              </w:rPr>
              <w:br/>
            </w:r>
            <w:r w:rsidRPr="00AA2FA8">
              <w:rPr>
                <w:szCs w:val="26"/>
              </w:rPr>
              <w:lastRenderedPageBreak/>
              <w:t>суттєвих порушень вимог ліцензійних умов щодо виробництва лікарських засобів (промислового), виявлених за результатами попереднього заходу державного нагляду (контролю)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lastRenderedPageBreak/>
              <w:t>10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наявність менше шести у сукупності за конкретними препаратами або процесами</w:t>
            </w:r>
            <w:r w:rsidRPr="00AA2FA8">
              <w:rPr>
                <w:szCs w:val="26"/>
              </w:rPr>
              <w:br/>
              <w:t>суттєвих та/або несуттєвих порушень вимог ліцензійних умов щодо виробництва лікарських засобів (промислового), виявлених за результатами попереднього заходу державного нагляду (контролю)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5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за результатами не менш як двох останніх заходів державного нагляду (контролю), здійснених протягом останніх трьох років, що передують плановому, не виявлено фактів порушення законодавства у сфері контролю якості та безпеки лікарських засобів, законодавства у сфері ліцензування господарської діяльності з виробництва лікарських засобів (промислового) або виробництво лікарських засобів (промислове) не здійснюється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7. Наявність порушень вимог законодавства у сфері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виявлених за результатами попереднього заходу державного нагляду (контролю)*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наявність критичного порушення вимог ліцензійних умов щодо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виявленого за результатами попереднього заходу державного нагляду (контролю)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14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наявність суттєвого порушення вимог ліцензійних умов щодо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інгредієнтів), виявленого за результатами попереднього заходу державного нагляду (контролю)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10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наявність несуттєвого порушення вимог ліцензійних умов щодо виробництва (виготовлення) лікарських засобів в умовах </w:t>
            </w:r>
            <w:r w:rsidRPr="00AA2FA8">
              <w:rPr>
                <w:szCs w:val="26"/>
              </w:rPr>
              <w:lastRenderedPageBreak/>
              <w:t>аптеки, оптової та роздрібної торгівлі лікарськими засобами, імпорту лікарських засобів (крім активних фармацевтичних інгредієнтів), виявленого за результатами попереднього заходу державного нагляду (контролю)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lastRenderedPageBreak/>
              <w:t>5</w:t>
            </w:r>
          </w:p>
        </w:tc>
      </w:tr>
      <w:tr w:rsidR="00C3792A" w:rsidRPr="00AA2FA8" w:rsidTr="000411AC">
        <w:tc>
          <w:tcPr>
            <w:tcW w:w="6585" w:type="dxa"/>
            <w:vAlign w:val="center"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за результатами не менш як двох останніх заходів державного нагляду (контролю), здійснених протягом останніх трьох років, що передують плановому, не виявлено фактів</w:t>
            </w:r>
            <w:r>
              <w:rPr>
                <w:szCs w:val="26"/>
              </w:rPr>
              <w:t xml:space="preserve"> порушення законодавства у сфері</w:t>
            </w:r>
            <w:r w:rsidRPr="00AA2FA8">
              <w:rPr>
                <w:szCs w:val="26"/>
              </w:rPr>
              <w:t xml:space="preserve"> контролю якості лікарських засобів, виробництва (виготовлення) лікарських засобів в умовах аптеки, оптової та роздрібної торгівлі лікарськими засобами, імпорту лікарських засобів (крім активних фармацевтичних інгредієнтів)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8. Наявність рішення про встановлення заборони обігу лікарського засобу, виробленого або ввезеного суб’єктом господарювання, або наявність негативного висновку про якість ввезеного в Україну лікарського засобу, виданого протягом останніх трьох років, що передують плановому періоду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наявне</w:t>
            </w:r>
          </w:p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відсутнє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10</w:t>
            </w:r>
          </w:p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  <w:tr w:rsidR="00C3792A" w:rsidRPr="00AA2FA8" w:rsidTr="000411AC">
        <w:tc>
          <w:tcPr>
            <w:tcW w:w="6585" w:type="dxa"/>
            <w:vMerge w:val="restart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9. Наявність випадку притягнення посадових осіб суб’єкта господарювання до адміністративної відповідальності за порушення вимог законодавства у сфері контролю якості лікарських засобів протягом останніх трьох років, що передують плановому періоду</w:t>
            </w: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 xml:space="preserve">наявний 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3</w:t>
            </w:r>
          </w:p>
        </w:tc>
      </w:tr>
      <w:tr w:rsidR="00C3792A" w:rsidRPr="00AA2FA8" w:rsidTr="000411AC">
        <w:tc>
          <w:tcPr>
            <w:tcW w:w="6585" w:type="dxa"/>
            <w:vMerge/>
            <w:vAlign w:val="center"/>
            <w:hideMark/>
          </w:tcPr>
          <w:p w:rsidR="00C3792A" w:rsidRPr="00AA2FA8" w:rsidRDefault="00C3792A" w:rsidP="000411AC">
            <w:pPr>
              <w:rPr>
                <w:szCs w:val="26"/>
              </w:rPr>
            </w:pPr>
          </w:p>
        </w:tc>
        <w:tc>
          <w:tcPr>
            <w:tcW w:w="6230" w:type="dxa"/>
            <w:hideMark/>
          </w:tcPr>
          <w:p w:rsidR="00C3792A" w:rsidRPr="00AA2FA8" w:rsidRDefault="00C3792A" w:rsidP="000411AC">
            <w:pPr>
              <w:pStyle w:val="a5"/>
              <w:ind w:firstLine="0"/>
              <w:rPr>
                <w:szCs w:val="26"/>
              </w:rPr>
            </w:pPr>
            <w:r w:rsidRPr="00AA2FA8">
              <w:rPr>
                <w:szCs w:val="26"/>
              </w:rPr>
              <w:t>відсутній</w:t>
            </w:r>
          </w:p>
        </w:tc>
        <w:tc>
          <w:tcPr>
            <w:tcW w:w="1894" w:type="dxa"/>
            <w:hideMark/>
          </w:tcPr>
          <w:p w:rsidR="00C3792A" w:rsidRPr="00AA2FA8" w:rsidRDefault="00C3792A" w:rsidP="000411AC">
            <w:pPr>
              <w:pStyle w:val="a5"/>
              <w:ind w:firstLine="0"/>
              <w:jc w:val="center"/>
              <w:rPr>
                <w:szCs w:val="26"/>
              </w:rPr>
            </w:pPr>
            <w:r w:rsidRPr="00AA2FA8">
              <w:rPr>
                <w:szCs w:val="26"/>
              </w:rPr>
              <w:t>0</w:t>
            </w:r>
          </w:p>
        </w:tc>
      </w:tr>
    </w:tbl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___________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* Класифікація виявлених порушень здійснюється під час їх опису в акті, що складається за результатами планового (позапланового) заходу державного нагляду (контролю) щодо додержання суб’єктом господарювання вимог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(далі — Ліцензійні умови) за кожним відповідним видом діяльності.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Для виробництва лікарських засобів (промислового) порушення класифікуються за такими рівнями: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 xml:space="preserve">критичне порушення Ліцензійних умов — порушення, що спричиняє або </w:t>
      </w:r>
      <w:r>
        <w:rPr>
          <w:sz w:val="24"/>
          <w:szCs w:val="24"/>
        </w:rPr>
        <w:t>призводить</w:t>
      </w:r>
      <w:r w:rsidRPr="00AA2FA8">
        <w:rPr>
          <w:sz w:val="24"/>
          <w:szCs w:val="24"/>
        </w:rPr>
        <w:t xml:space="preserve"> до високої ймовірності виробництва лікарського засобу, який шкідливий для </w:t>
      </w:r>
      <w:r w:rsidRPr="00AA2FA8">
        <w:rPr>
          <w:sz w:val="24"/>
          <w:szCs w:val="24"/>
        </w:rPr>
        <w:lastRenderedPageBreak/>
        <w:t>людини або тварини, або такого, що може призвести до появи шкідливих залишків у харчовій продукції тваринного походження;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 xml:space="preserve">суттєве порушення Ліцензійних умов — порушення, яке не є критичним, але призвело або може призвести до виробництва лікарського засобу, який не відповідає вимогам реєстраційного досьє на цей лікарський засіб, або </w:t>
      </w:r>
      <w:r>
        <w:rPr>
          <w:sz w:val="24"/>
          <w:szCs w:val="24"/>
        </w:rPr>
        <w:t>під час</w:t>
      </w:r>
      <w:r w:rsidRPr="00AA2FA8">
        <w:rPr>
          <w:sz w:val="24"/>
          <w:szCs w:val="24"/>
        </w:rPr>
        <w:t xml:space="preserve"> виробництв</w:t>
      </w:r>
      <w:r>
        <w:rPr>
          <w:sz w:val="24"/>
          <w:szCs w:val="24"/>
        </w:rPr>
        <w:t>а</w:t>
      </w:r>
      <w:r w:rsidRPr="00AA2FA8">
        <w:rPr>
          <w:sz w:val="24"/>
          <w:szCs w:val="24"/>
        </w:rPr>
        <w:t xml:space="preserve"> лікарського засобу не додержуються вимоги належної виробничої практики, гармонізованої із законодавством ЄС, або полягає в невідповідній процедурі випуску серій чи неналежному вик</w:t>
      </w:r>
      <w:r>
        <w:rPr>
          <w:sz w:val="24"/>
          <w:szCs w:val="24"/>
        </w:rPr>
        <w:t>онанні уповноваженою особою суб</w:t>
      </w:r>
      <w:r>
        <w:rPr>
          <w:rFonts w:ascii="Times New Roman" w:hAnsi="Times New Roman"/>
          <w:sz w:val="24"/>
          <w:szCs w:val="24"/>
        </w:rPr>
        <w:t>’</w:t>
      </w:r>
      <w:r w:rsidRPr="00AA2FA8">
        <w:rPr>
          <w:sz w:val="24"/>
          <w:szCs w:val="24"/>
        </w:rPr>
        <w:t>єкта господарювання своїх обов’язків, або є комбінацією декількох несуттєвих порушень, кожне з яких не може класифікуватися як суттєве порушення, але разом вони мають бути класифіковані та відображені в акті як суттєве порушення;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несуттєве порушення Ліцензійних умов — порушення, яке не належить до критичних або суттєвих порушень, але є порушенням Ліцензійних умов, у разі</w:t>
      </w:r>
      <w:r>
        <w:rPr>
          <w:sz w:val="24"/>
          <w:szCs w:val="24"/>
        </w:rPr>
        <w:t xml:space="preserve"> коли</w:t>
      </w:r>
      <w:r w:rsidRPr="00AA2FA8">
        <w:rPr>
          <w:sz w:val="24"/>
          <w:szCs w:val="24"/>
        </w:rPr>
        <w:t xml:space="preserve"> не вистачає інформації для оцінки порушення як критичного чи суттєвого.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Для оптової торгівлі лікарськими засобами порушення класифікуються за такими рівнями: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 xml:space="preserve">критичне порушення Ліцензійних умов — порушення Ліцензійних умов, яке призвело до обігу незареєстрованих лікарських засобів, лікарських засобів, ввезених з порушенням вимог законодавства у сфері обігу лікарських засобів, лікарських засобів, </w:t>
      </w:r>
      <w:r>
        <w:rPr>
          <w:sz w:val="24"/>
          <w:szCs w:val="24"/>
        </w:rPr>
        <w:t>строк</w:t>
      </w:r>
      <w:r w:rsidRPr="00AA2FA8">
        <w:rPr>
          <w:sz w:val="24"/>
          <w:szCs w:val="24"/>
        </w:rPr>
        <w:t xml:space="preserve"> придатності яких минув, лікарських засобів, обіг яких заборонено; порушення умов зберігання лікарських засобів, які потребують особливих температурних умов; сукупність суттєвих порушень Ліцензійних умов, які з високою ймовірністю можуть призвести до обігу неякісних лікарських засобів;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суттєве порушення Ліцензійних умов — порушення Ліцензійних умов, яке не є критичним, але з високою ймовірністю може призвести до обігу неякісних лікарських засобів;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несуттєве порушення Ліцензійних умов — порушення, яке не належить до критичних або суттєвих порушень, але є порушенням Ліцензійних умов, у раз</w:t>
      </w:r>
      <w:r>
        <w:rPr>
          <w:sz w:val="24"/>
          <w:szCs w:val="24"/>
        </w:rPr>
        <w:t xml:space="preserve"> коли</w:t>
      </w:r>
      <w:r w:rsidRPr="00AA2FA8">
        <w:rPr>
          <w:sz w:val="24"/>
          <w:szCs w:val="24"/>
        </w:rPr>
        <w:t xml:space="preserve"> не вистачає інформації для оцінки порушення як критичного чи суттєвого.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Для виробництва (виготовлення) лікарських засобів в умовах аптеки, роздрібної торгівлі лікарськими засобами порушення класифікуються за такими рівнями: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 xml:space="preserve">критичне порушення Ліцензійних умов — порушення Ліцензійних умов, яке призвело до обігу незареєстрованих лікарських засобів, лікарських засобів, ввезених з порушенням вимог законодавства у сфері обігу лікарських засобів, лікарських засобів, </w:t>
      </w:r>
      <w:r>
        <w:rPr>
          <w:sz w:val="24"/>
          <w:szCs w:val="24"/>
        </w:rPr>
        <w:t>строк</w:t>
      </w:r>
      <w:r w:rsidRPr="00AA2FA8">
        <w:rPr>
          <w:sz w:val="24"/>
          <w:szCs w:val="24"/>
        </w:rPr>
        <w:t xml:space="preserve"> придатності яких минув, лікарських засобів, обіг яких заборонено; порушення умов зберігання лікарських засобів, які потребують особливих температурних умов, або порушення Ліцензійних умов в частині створення необхідних умов для доступності осіб з інвалідністю та інших </w:t>
      </w:r>
      <w:proofErr w:type="spellStart"/>
      <w:r w:rsidRPr="00AA2FA8">
        <w:rPr>
          <w:sz w:val="24"/>
          <w:szCs w:val="24"/>
        </w:rPr>
        <w:t>маломобільних</w:t>
      </w:r>
      <w:proofErr w:type="spellEnd"/>
      <w:r w:rsidRPr="00AA2FA8">
        <w:rPr>
          <w:sz w:val="24"/>
          <w:szCs w:val="24"/>
        </w:rPr>
        <w:t xml:space="preserve"> груп населення до приміщень відповідно до державних будівельних норм, правил і стандартів;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суттєве порушення Ліцензійних умов — порушення Ліцензійних умов, яке не є критичним, але з високою ймовірністю може призвести до обігу неякісних лікарських засобів;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несуттєве порушення Ліцензійних умов — порушення, яке не належить до критичних або суттєвих порушень, але є порушенням Ліцензійних умов, у разі</w:t>
      </w:r>
      <w:r>
        <w:rPr>
          <w:sz w:val="24"/>
          <w:szCs w:val="24"/>
        </w:rPr>
        <w:t xml:space="preserve"> коли</w:t>
      </w:r>
      <w:r w:rsidRPr="00AA2FA8">
        <w:rPr>
          <w:sz w:val="24"/>
          <w:szCs w:val="24"/>
        </w:rPr>
        <w:t xml:space="preserve"> не вистачає інформації для оцінки порушення як критичного чи суттєвого.</w:t>
      </w:r>
    </w:p>
    <w:p w:rsidR="00C3792A" w:rsidRDefault="00C3792A" w:rsidP="000617C0">
      <w:pPr>
        <w:pStyle w:val="a5"/>
        <w:ind w:firstLine="0"/>
        <w:jc w:val="both"/>
        <w:rPr>
          <w:sz w:val="24"/>
          <w:szCs w:val="24"/>
        </w:rPr>
      </w:pPr>
    </w:p>
    <w:p w:rsidR="00C3792A" w:rsidRDefault="00C3792A" w:rsidP="000617C0">
      <w:pPr>
        <w:pStyle w:val="a5"/>
        <w:ind w:firstLine="0"/>
        <w:jc w:val="both"/>
        <w:rPr>
          <w:sz w:val="24"/>
          <w:szCs w:val="24"/>
        </w:rPr>
      </w:pP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Для імпорту лікарських засобів (крім активних фармацевтичних інгредієнтів) порушення класифікуються за такими рівнями:</w:t>
      </w:r>
    </w:p>
    <w:p w:rsidR="00C3792A" w:rsidRPr="00AA2FA8" w:rsidRDefault="00C3792A" w:rsidP="000617C0">
      <w:pPr>
        <w:pStyle w:val="a5"/>
        <w:ind w:firstLine="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критичне порушення Ліцензійних умов — порушення, яке призвело або може призвести до високого ризику випуску в обіг неякісного лікарського засобу, імпорту, оптової торгівлі неякісним лікарським засобом, який може завдати шкоди здоров’ю людини;</w:t>
      </w:r>
    </w:p>
    <w:p w:rsidR="00C3792A" w:rsidRPr="00AA2FA8" w:rsidRDefault="00C3792A" w:rsidP="000617C0">
      <w:pPr>
        <w:spacing w:before="12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суттєве порушення Ліцензійних умов — порушення, яке не є критичним, але призвело або може призвести до випуску в обіг неякісного лікарського засобу, імпорту та оптової торгі</w:t>
      </w:r>
      <w:proofErr w:type="gramStart"/>
      <w:r w:rsidRPr="00AA2FA8">
        <w:rPr>
          <w:sz w:val="24"/>
          <w:szCs w:val="24"/>
        </w:rPr>
        <w:t>вл</w:t>
      </w:r>
      <w:proofErr w:type="gramEnd"/>
      <w:r w:rsidRPr="00AA2FA8">
        <w:rPr>
          <w:sz w:val="24"/>
          <w:szCs w:val="24"/>
        </w:rPr>
        <w:t>і неякісним лікарським засобом, який не відповідає вимогам реєстраційного досьє на цей лікарський засіб, або полягає в недодержанні вимог належної виробничої практики, належної практики дистрибуції та належної практики зберігання, гармонізованих із законодавством</w:t>
      </w:r>
      <w:proofErr w:type="gramStart"/>
      <w:r w:rsidRPr="00AA2FA8">
        <w:rPr>
          <w:sz w:val="24"/>
          <w:szCs w:val="24"/>
        </w:rPr>
        <w:t xml:space="preserve"> ЄС</w:t>
      </w:r>
      <w:proofErr w:type="gramEnd"/>
      <w:r w:rsidRPr="00AA2FA8">
        <w:rPr>
          <w:sz w:val="24"/>
          <w:szCs w:val="24"/>
        </w:rPr>
        <w:t>, або в невідповідній процедурі випуску серій чи неналежному виконанні уповноваженою особою суб</w:t>
      </w:r>
      <w:r>
        <w:rPr>
          <w:rFonts w:ascii="Times New Roman" w:hAnsi="Times New Roman"/>
          <w:sz w:val="24"/>
          <w:szCs w:val="24"/>
        </w:rPr>
        <w:t>’</w:t>
      </w:r>
      <w:r w:rsidRPr="00AA2FA8">
        <w:rPr>
          <w:sz w:val="24"/>
          <w:szCs w:val="24"/>
        </w:rPr>
        <w:t xml:space="preserve">єкта господарювання своїх обов’язків, або є комбінацією декількох несуттєвих порушень, кожне з яких не може класифікуватися як суттєве порушення, але разом вони мають </w:t>
      </w:r>
      <w:proofErr w:type="gramStart"/>
      <w:r w:rsidRPr="00AA2FA8">
        <w:rPr>
          <w:sz w:val="24"/>
          <w:szCs w:val="24"/>
        </w:rPr>
        <w:t>бути класифікован</w:t>
      </w:r>
      <w:proofErr w:type="gramEnd"/>
      <w:r w:rsidRPr="00AA2FA8">
        <w:rPr>
          <w:sz w:val="24"/>
          <w:szCs w:val="24"/>
        </w:rPr>
        <w:t>і та відображ</w:t>
      </w:r>
      <w:r>
        <w:rPr>
          <w:sz w:val="24"/>
          <w:szCs w:val="24"/>
        </w:rPr>
        <w:t>ені в акті як суттєві порушення</w:t>
      </w:r>
      <w:r>
        <w:rPr>
          <w:rFonts w:ascii="Times New Roman" w:hAnsi="Times New Roman"/>
          <w:sz w:val="24"/>
          <w:szCs w:val="24"/>
        </w:rPr>
        <w:t>;</w:t>
      </w:r>
    </w:p>
    <w:p w:rsidR="00C3792A" w:rsidRPr="00AA2FA8" w:rsidRDefault="00C3792A" w:rsidP="000617C0">
      <w:pPr>
        <w:spacing w:before="120"/>
        <w:jc w:val="both"/>
        <w:rPr>
          <w:sz w:val="24"/>
          <w:szCs w:val="24"/>
        </w:rPr>
      </w:pPr>
      <w:r w:rsidRPr="00AA2FA8">
        <w:rPr>
          <w:sz w:val="24"/>
          <w:szCs w:val="24"/>
        </w:rPr>
        <w:t>несуттєве порушення Ліцензійних умов — порушення, яке не належить до критичних або суттєвих порушень, але є порушенням Ліцензійних умов, у разі</w:t>
      </w:r>
      <w:r>
        <w:rPr>
          <w:sz w:val="24"/>
          <w:szCs w:val="24"/>
        </w:rPr>
        <w:t xml:space="preserve"> коли</w:t>
      </w:r>
      <w:r w:rsidRPr="00AA2FA8">
        <w:rPr>
          <w:sz w:val="24"/>
          <w:szCs w:val="24"/>
        </w:rPr>
        <w:t xml:space="preserve"> не вистачає інформації для оцінки порушення як </w:t>
      </w:r>
      <w:proofErr w:type="gramStart"/>
      <w:r w:rsidRPr="00AA2FA8">
        <w:rPr>
          <w:sz w:val="24"/>
          <w:szCs w:val="24"/>
        </w:rPr>
        <w:t>критичного</w:t>
      </w:r>
      <w:proofErr w:type="gramEnd"/>
      <w:r w:rsidRPr="00AA2FA8">
        <w:rPr>
          <w:sz w:val="24"/>
          <w:szCs w:val="24"/>
        </w:rPr>
        <w:t xml:space="preserve"> чи суттєвого.</w:t>
      </w:r>
    </w:p>
    <w:p w:rsidR="00C3792A" w:rsidRPr="00AA2FA8" w:rsidRDefault="00C3792A" w:rsidP="000617C0">
      <w:pPr>
        <w:pStyle w:val="3"/>
        <w:spacing w:before="480"/>
        <w:ind w:left="0"/>
        <w:jc w:val="center"/>
        <w:rPr>
          <w:b w:val="0"/>
          <w:i w:val="0"/>
          <w:szCs w:val="26"/>
        </w:rPr>
      </w:pPr>
      <w:r w:rsidRPr="00AA2FA8">
        <w:rPr>
          <w:b w:val="0"/>
          <w:i w:val="0"/>
          <w:szCs w:val="26"/>
        </w:rPr>
        <w:t>_____________________</w:t>
      </w:r>
    </w:p>
    <w:p w:rsidR="00C3792A" w:rsidRPr="00C3792A" w:rsidRDefault="00C3792A">
      <w:pPr>
        <w:rPr>
          <w:lang w:val="uk-UA"/>
        </w:rPr>
      </w:pPr>
    </w:p>
    <w:sectPr w:rsidR="00C3792A" w:rsidRPr="00C3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C3792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C379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C3792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210F96" w:rsidRDefault="00C3792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C3792A">
    <w:pPr>
      <w:framePr w:wrap="around" w:vAnchor="text" w:hAnchor="margin" w:xAlign="center" w:y="1"/>
    </w:pPr>
    <w:r>
      <w:fldChar w:fldCharType="begin"/>
    </w:r>
    <w:r>
      <w:instrText>PAGE</w:instrText>
    </w:r>
    <w:r>
      <w:instrText xml:space="preserve">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C3792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C3792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12</w:t>
    </w:r>
    <w:r>
      <w:fldChar w:fldCharType="end"/>
    </w:r>
  </w:p>
  <w:p w:rsidR="00210F96" w:rsidRDefault="00C3792A" w:rsidP="000411AC">
    <w:pPr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0"/>
    <w:rsid w:val="003B32AD"/>
    <w:rsid w:val="00A76F30"/>
    <w:rsid w:val="00C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3792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F30"/>
    <w:rPr>
      <w:b/>
      <w:bCs/>
    </w:rPr>
  </w:style>
  <w:style w:type="paragraph" w:styleId="a4">
    <w:name w:val="Normal (Web)"/>
    <w:basedOn w:val="a"/>
    <w:uiPriority w:val="99"/>
    <w:semiHidden/>
    <w:unhideWhenUsed/>
    <w:rsid w:val="00A7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792A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rsid w:val="00C3792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3792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3792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3792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F30"/>
    <w:rPr>
      <w:b/>
      <w:bCs/>
    </w:rPr>
  </w:style>
  <w:style w:type="paragraph" w:styleId="a4">
    <w:name w:val="Normal (Web)"/>
    <w:basedOn w:val="a"/>
    <w:uiPriority w:val="99"/>
    <w:semiHidden/>
    <w:unhideWhenUsed/>
    <w:rsid w:val="00A7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792A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rsid w:val="00C3792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3792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3792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5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7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12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74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3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5886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6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6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24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03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2019-06-11T06:24:00Z</dcterms:created>
  <dcterms:modified xsi:type="dcterms:W3CDTF">2019-06-11T06:27:00Z</dcterms:modified>
</cp:coreProperties>
</file>