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DC6" w:rsidRDefault="00FC6DC6">
      <w:pPr>
        <w:rPr>
          <w:rFonts w:cs="Times New Roman"/>
          <w:lang w:val="uk-UA"/>
        </w:rPr>
      </w:pPr>
    </w:p>
    <w:tbl>
      <w:tblPr>
        <w:tblW w:w="0" w:type="auto"/>
        <w:tblInd w:w="-106" w:type="dxa"/>
        <w:tblLayout w:type="fixed"/>
        <w:tblLook w:val="0000"/>
      </w:tblPr>
      <w:tblGrid>
        <w:gridCol w:w="5637"/>
        <w:gridCol w:w="4252"/>
      </w:tblGrid>
      <w:tr w:rsidR="00FC6DC6">
        <w:tblPrEx>
          <w:tblCellMar>
            <w:top w:w="0" w:type="dxa"/>
            <w:bottom w:w="0" w:type="dxa"/>
          </w:tblCellMar>
        </w:tblPrEx>
        <w:tc>
          <w:tcPr>
            <w:tcW w:w="5637" w:type="dxa"/>
            <w:tcBorders>
              <w:top w:val="nil"/>
              <w:left w:val="nil"/>
              <w:bottom w:val="nil"/>
              <w:right w:val="nil"/>
            </w:tcBorders>
          </w:tcPr>
          <w:p w:rsidR="00FC6DC6" w:rsidRDefault="00FC6DC6">
            <w:pPr>
              <w:rPr>
                <w:rFonts w:cs="Times New Roman"/>
                <w:sz w:val="22"/>
                <w:szCs w:val="22"/>
                <w:lang w:val="uk-UA"/>
              </w:rPr>
            </w:pPr>
          </w:p>
        </w:tc>
        <w:tc>
          <w:tcPr>
            <w:tcW w:w="4252" w:type="dxa"/>
            <w:tcBorders>
              <w:top w:val="nil"/>
              <w:left w:val="nil"/>
              <w:bottom w:val="nil"/>
              <w:right w:val="nil"/>
            </w:tcBorders>
          </w:tcPr>
          <w:p w:rsidR="00FC6DC6" w:rsidRDefault="00FC6DC6">
            <w:pPr>
              <w:rPr>
                <w:rFonts w:cs="Times New Roman"/>
                <w:sz w:val="28"/>
                <w:szCs w:val="28"/>
                <w:lang w:val="uk-UA"/>
              </w:rPr>
            </w:pPr>
            <w:r>
              <w:rPr>
                <w:rFonts w:cs="Times New Roman"/>
                <w:sz w:val="28"/>
                <w:szCs w:val="28"/>
                <w:lang w:val="uk-UA"/>
              </w:rPr>
              <w:t>ЗАТВЕРДЖЕНО</w:t>
            </w:r>
          </w:p>
          <w:p w:rsidR="00FC6DC6" w:rsidRDefault="00FC6DC6">
            <w:pPr>
              <w:rPr>
                <w:rFonts w:cs="Times New Roman"/>
                <w:sz w:val="28"/>
                <w:szCs w:val="28"/>
                <w:lang w:val="uk-UA"/>
              </w:rPr>
            </w:pPr>
            <w:r>
              <w:rPr>
                <w:rFonts w:cs="Times New Roman"/>
                <w:sz w:val="28"/>
                <w:szCs w:val="28"/>
                <w:lang w:val="uk-UA"/>
              </w:rPr>
              <w:t xml:space="preserve">наказом Міністерства охорони </w:t>
            </w:r>
          </w:p>
          <w:p w:rsidR="00FC6DC6" w:rsidRDefault="00FC6DC6">
            <w:pPr>
              <w:rPr>
                <w:rFonts w:cs="Times New Roman"/>
                <w:sz w:val="28"/>
                <w:szCs w:val="28"/>
                <w:lang w:val="uk-UA"/>
              </w:rPr>
            </w:pPr>
            <w:r>
              <w:rPr>
                <w:rFonts w:cs="Times New Roman"/>
                <w:sz w:val="28"/>
                <w:szCs w:val="28"/>
                <w:lang w:val="uk-UA"/>
              </w:rPr>
              <w:t>здоров</w:t>
            </w:r>
            <w:r>
              <w:rPr>
                <w:rFonts w:cs="Times New Roman"/>
                <w:sz w:val="28"/>
                <w:szCs w:val="28"/>
              </w:rPr>
              <w:t>’</w:t>
            </w:r>
            <w:r>
              <w:rPr>
                <w:rFonts w:cs="Times New Roman"/>
                <w:sz w:val="28"/>
                <w:szCs w:val="28"/>
                <w:lang w:val="uk-UA"/>
              </w:rPr>
              <w:t>я України</w:t>
            </w:r>
          </w:p>
          <w:p w:rsidR="00FC6DC6" w:rsidRDefault="00FC6DC6">
            <w:pPr>
              <w:rPr>
                <w:rFonts w:cs="Times New Roman"/>
                <w:sz w:val="28"/>
                <w:szCs w:val="28"/>
                <w:lang w:val="uk-UA"/>
              </w:rPr>
            </w:pPr>
            <w:r>
              <w:rPr>
                <w:rFonts w:cs="Times New Roman"/>
                <w:sz w:val="28"/>
                <w:szCs w:val="28"/>
                <w:lang w:val="uk-UA"/>
              </w:rPr>
              <w:t>від ___ ____ 2015 р. № _______</w:t>
            </w:r>
          </w:p>
          <w:p w:rsidR="00FC6DC6" w:rsidRDefault="00FC6DC6">
            <w:pPr>
              <w:rPr>
                <w:rFonts w:cs="Times New Roman"/>
                <w:sz w:val="22"/>
                <w:szCs w:val="22"/>
                <w:lang w:val="uk-UA"/>
              </w:rPr>
            </w:pPr>
          </w:p>
        </w:tc>
      </w:tr>
    </w:tbl>
    <w:p w:rsidR="00FC6DC6" w:rsidRDefault="00FC6DC6">
      <w:pPr>
        <w:rPr>
          <w:rFonts w:cs="Times New Roman"/>
          <w:lang w:val="uk-UA"/>
        </w:rPr>
      </w:pPr>
    </w:p>
    <w:p w:rsidR="00FC6DC6" w:rsidRDefault="00FC6DC6">
      <w:pPr>
        <w:rPr>
          <w:rFonts w:cs="Times New Roman"/>
          <w:lang w:val="uk-UA"/>
        </w:rPr>
      </w:pPr>
    </w:p>
    <w:p w:rsidR="00FC6DC6" w:rsidRDefault="00FC6DC6">
      <w:pPr>
        <w:rPr>
          <w:rFonts w:cs="Times New Roman"/>
          <w:lang w:val="uk-UA"/>
        </w:rPr>
      </w:pPr>
    </w:p>
    <w:p w:rsidR="00FC6DC6" w:rsidRDefault="00FC6DC6">
      <w:pPr>
        <w:rPr>
          <w:rFonts w:cs="Times New Roman"/>
          <w:lang w:val="uk-UA"/>
        </w:rPr>
      </w:pPr>
    </w:p>
    <w:p w:rsidR="00FC6DC6" w:rsidRDefault="00FC6DC6">
      <w:pPr>
        <w:rPr>
          <w:rFonts w:cs="Times New Roman"/>
          <w:lang w:val="uk-UA"/>
        </w:rPr>
      </w:pPr>
    </w:p>
    <w:p w:rsidR="00FC6DC6" w:rsidRDefault="00FC6DC6">
      <w:pPr>
        <w:rPr>
          <w:rFonts w:cs="Times New Roman"/>
          <w:lang w:val="uk-UA"/>
        </w:rPr>
      </w:pPr>
    </w:p>
    <w:p w:rsidR="00FC6DC6" w:rsidRDefault="00FC6DC6">
      <w:pPr>
        <w:rPr>
          <w:rFonts w:cs="Times New Roman"/>
          <w:lang w:val="uk-UA"/>
        </w:rPr>
      </w:pPr>
    </w:p>
    <w:p w:rsidR="00FC6DC6" w:rsidRDefault="00FC6DC6">
      <w:pPr>
        <w:rPr>
          <w:rFonts w:cs="Times New Roman"/>
          <w:lang w:val="uk-UA"/>
        </w:rPr>
      </w:pPr>
    </w:p>
    <w:p w:rsidR="00FC6DC6" w:rsidRDefault="00FC6DC6">
      <w:pPr>
        <w:rPr>
          <w:rFonts w:cs="Times New Roman"/>
          <w:lang w:val="uk-UA"/>
        </w:rPr>
      </w:pPr>
    </w:p>
    <w:p w:rsidR="00FC6DC6" w:rsidRDefault="00FC6DC6">
      <w:pPr>
        <w:rPr>
          <w:rFonts w:cs="Times New Roman"/>
          <w:lang w:val="uk-UA"/>
        </w:rPr>
      </w:pPr>
    </w:p>
    <w:p w:rsidR="00FC6DC6" w:rsidRDefault="00FC6DC6">
      <w:pPr>
        <w:rPr>
          <w:rFonts w:cs="Times New Roman"/>
          <w:lang w:val="uk-UA"/>
        </w:rPr>
      </w:pPr>
    </w:p>
    <w:p w:rsidR="00FC6DC6" w:rsidRDefault="00FC6DC6">
      <w:pPr>
        <w:rPr>
          <w:rFonts w:cs="Times New Roman"/>
          <w:lang w:val="uk-UA"/>
        </w:rPr>
      </w:pPr>
    </w:p>
    <w:p w:rsidR="00FC6DC6" w:rsidRDefault="00FC6DC6">
      <w:pPr>
        <w:rPr>
          <w:rFonts w:cs="Times New Roman"/>
          <w:lang w:val="uk-UA"/>
        </w:rPr>
      </w:pPr>
    </w:p>
    <w:p w:rsidR="00FC6DC6" w:rsidRDefault="00FC6DC6">
      <w:pPr>
        <w:jc w:val="right"/>
        <w:rPr>
          <w:rFonts w:cs="Times New Roman"/>
          <w:lang w:val="uk-UA"/>
        </w:rPr>
      </w:pPr>
    </w:p>
    <w:p w:rsidR="00FC6DC6" w:rsidRDefault="00FC6DC6">
      <w:pPr>
        <w:spacing w:after="120"/>
        <w:ind w:firstLine="840"/>
        <w:jc w:val="center"/>
        <w:rPr>
          <w:rFonts w:cs="Times New Roman"/>
          <w:b/>
          <w:bCs/>
          <w:sz w:val="28"/>
          <w:szCs w:val="28"/>
          <w:lang w:val="uk-UA"/>
        </w:rPr>
      </w:pPr>
      <w:r>
        <w:rPr>
          <w:rFonts w:cs="Times New Roman"/>
          <w:b/>
          <w:bCs/>
          <w:sz w:val="28"/>
          <w:szCs w:val="28"/>
          <w:lang w:val="uk-UA"/>
        </w:rPr>
        <w:t>Порядок розрахунку потреби на наступний рік в лікарських засобах, що містять наркотичні засоби і психотропні, включених до таблиць II і III Переліку наркотичних засобів, психотропних речовин і прекурсорів</w:t>
      </w:r>
      <w:r>
        <w:rPr>
          <w:rFonts w:cs="Times New Roman"/>
          <w:b/>
          <w:bCs/>
          <w:color w:val="000000"/>
          <w:sz w:val="28"/>
          <w:szCs w:val="28"/>
          <w:lang w:val="uk-UA"/>
        </w:rPr>
        <w:t>, затвердженого постановою Кабінету Міністрів України від 06.05.2000 № 770</w:t>
      </w:r>
      <w:r>
        <w:rPr>
          <w:rFonts w:cs="Times New Roman"/>
          <w:b/>
          <w:bCs/>
          <w:sz w:val="28"/>
          <w:szCs w:val="28"/>
          <w:lang w:val="uk-UA"/>
        </w:rPr>
        <w:t>, в кількості, що перевищує гранично допустиму</w:t>
      </w:r>
    </w:p>
    <w:p w:rsidR="00FC6DC6" w:rsidRDefault="00FC6DC6">
      <w:pPr>
        <w:ind w:firstLine="708"/>
        <w:jc w:val="both"/>
        <w:rPr>
          <w:rFonts w:cs="Times New Roman"/>
          <w:color w:val="000000"/>
          <w:sz w:val="28"/>
          <w:szCs w:val="28"/>
          <w:lang w:val="uk-UA"/>
        </w:rPr>
      </w:pPr>
      <w:r>
        <w:rPr>
          <w:rFonts w:cs="Times New Roman"/>
          <w:sz w:val="28"/>
          <w:szCs w:val="28"/>
          <w:lang w:val="uk-UA"/>
        </w:rPr>
        <w:t>1. Цей Порядок визначає механізм формування на наступний рік потреби у лікарських засобах, що містять наркотичні засоби і психотропні речовини, включених до таблиць ІІ і ІІІ Переліку наркотичних засобів, психотропних речовин і прекурсорів</w:t>
      </w:r>
      <w:r>
        <w:rPr>
          <w:rFonts w:cs="Times New Roman"/>
          <w:color w:val="000000"/>
          <w:sz w:val="28"/>
          <w:szCs w:val="28"/>
          <w:lang w:val="uk-UA"/>
        </w:rPr>
        <w:t>, затвердженого постановою Кабінету Міністрів України від 06.05.2000 № 770 (далі – Перелік)</w:t>
      </w:r>
      <w:r>
        <w:rPr>
          <w:rFonts w:cs="Times New Roman"/>
          <w:sz w:val="28"/>
          <w:szCs w:val="28"/>
          <w:lang w:val="uk-UA"/>
        </w:rPr>
        <w:t>, в кількості, що перевищує гранично допустиму,</w:t>
      </w:r>
      <w:r>
        <w:rPr>
          <w:rFonts w:cs="Times New Roman"/>
          <w:color w:val="000000"/>
          <w:sz w:val="28"/>
          <w:szCs w:val="28"/>
          <w:lang w:val="uk-UA"/>
        </w:rPr>
        <w:t xml:space="preserve"> затверджену постановою Кабінетом Міністрів України від 10.10.2007 №1203 “Про затвердження гранично допустимої кількості наркотичних засобів, психотропних речовин і прекурсорів, що містяться в препаратах” (далі – Порядок).</w:t>
      </w:r>
    </w:p>
    <w:p w:rsidR="00FC6DC6" w:rsidRDefault="00FC6DC6">
      <w:pPr>
        <w:jc w:val="both"/>
        <w:rPr>
          <w:rFonts w:cs="Times New Roman"/>
          <w:sz w:val="28"/>
          <w:szCs w:val="28"/>
          <w:lang w:val="uk-UA"/>
        </w:rPr>
      </w:pPr>
      <w:r>
        <w:rPr>
          <w:rFonts w:cs="Times New Roman"/>
          <w:sz w:val="28"/>
          <w:szCs w:val="28"/>
          <w:lang w:val="uk-UA"/>
        </w:rPr>
        <w:tab/>
        <w:t>2. Дія Порядку поширюється на МОЗ АР Крим, структурні підрозділи з питань охорони здоров’я обласних, Київської та Севастопольської міських державних адміністрацій</w:t>
      </w:r>
      <w:r>
        <w:rPr>
          <w:rFonts w:cs="Times New Roman"/>
          <w:b/>
          <w:bCs/>
          <w:sz w:val="28"/>
          <w:szCs w:val="28"/>
          <w:lang w:val="uk-UA"/>
        </w:rPr>
        <w:t xml:space="preserve"> </w:t>
      </w:r>
      <w:r>
        <w:rPr>
          <w:rFonts w:cs="Times New Roman"/>
          <w:sz w:val="28"/>
          <w:szCs w:val="28"/>
          <w:lang w:val="uk-UA"/>
        </w:rPr>
        <w:t>(далі – регіональні органи охорони здоров'я), районні (міські) структурні підрозділи з питань охорони здоров’я, заклади охорони здоров’я незалежно від відомчого підпорядкування, що отримали ліцензію на право здійснення діяльності, пов'язаної з обігом наркотичних засобів і психотропних речовин.</w:t>
      </w:r>
    </w:p>
    <w:p w:rsidR="00FC6DC6" w:rsidRDefault="00FC6DC6">
      <w:pPr>
        <w:ind w:firstLine="709"/>
        <w:jc w:val="both"/>
        <w:rPr>
          <w:rFonts w:cs="Times New Roman"/>
          <w:sz w:val="28"/>
          <w:szCs w:val="28"/>
          <w:lang w:val="uk-UA"/>
        </w:rPr>
      </w:pPr>
      <w:r>
        <w:rPr>
          <w:rFonts w:cs="Times New Roman"/>
          <w:sz w:val="28"/>
          <w:szCs w:val="28"/>
          <w:lang w:val="uk-UA"/>
        </w:rPr>
        <w:t>3. Для проведення розрахунків за цим Порядком використовується інформація узагальнена за рік, що передує поточному, звітності, форми якої затверджено наказом МОЗ України від 10.07.2007 № 378 “Про затвердження форм звітності з питань охорони здоров'я та інструкцій щодо їхнього заповнення”, зареєстрованим у Міністерстві юстиції України 03 вересня 2007 року за № 1009/14276.</w:t>
      </w:r>
    </w:p>
    <w:p w:rsidR="00FC6DC6" w:rsidRDefault="00FC6DC6">
      <w:pPr>
        <w:ind w:firstLine="709"/>
        <w:jc w:val="both"/>
        <w:rPr>
          <w:rFonts w:cs="Times New Roman"/>
          <w:sz w:val="28"/>
          <w:szCs w:val="28"/>
          <w:lang w:val="uk-UA"/>
        </w:rPr>
      </w:pPr>
      <w:r>
        <w:rPr>
          <w:rFonts w:cs="Times New Roman"/>
          <w:sz w:val="28"/>
          <w:szCs w:val="28"/>
          <w:lang w:val="uk-UA"/>
        </w:rPr>
        <w:t>4. Для формування звітності про фактично використані лікарські засоби, що містять наркотичні засоби та психотропні речовини включених у Перелік, в кількості, що перевищує гранично допустиму, та заявки на потребу в цих лікарських засобах, застосовуються такі періоди:</w:t>
      </w:r>
    </w:p>
    <w:p w:rsidR="00FC6DC6" w:rsidRDefault="00FC6DC6">
      <w:pPr>
        <w:ind w:firstLine="709"/>
        <w:jc w:val="both"/>
        <w:rPr>
          <w:rFonts w:cs="Times New Roman"/>
          <w:sz w:val="28"/>
          <w:szCs w:val="28"/>
          <w:lang w:val="uk-UA"/>
        </w:rPr>
      </w:pPr>
      <w:r>
        <w:rPr>
          <w:rFonts w:cs="Times New Roman"/>
          <w:sz w:val="28"/>
          <w:szCs w:val="28"/>
          <w:lang w:val="uk-UA"/>
        </w:rPr>
        <w:t xml:space="preserve"> - для звіту про використані підконтрольні діючі речовини (далі – ПДР) та підконтрольні лікарські засоби (далі – ПЛЗ) – з 01 січня – до 31 грудня  року, попереднього до поточного року;</w:t>
      </w:r>
    </w:p>
    <w:p w:rsidR="00FC6DC6" w:rsidRDefault="00FC6DC6">
      <w:pPr>
        <w:ind w:firstLine="709"/>
        <w:jc w:val="both"/>
        <w:rPr>
          <w:rFonts w:cs="Times New Roman"/>
          <w:sz w:val="28"/>
          <w:szCs w:val="28"/>
          <w:lang w:val="uk-UA"/>
        </w:rPr>
      </w:pPr>
      <w:r>
        <w:rPr>
          <w:rFonts w:cs="Times New Roman"/>
          <w:b/>
          <w:bCs/>
          <w:sz w:val="28"/>
          <w:szCs w:val="28"/>
          <w:lang w:val="uk-UA"/>
        </w:rPr>
        <w:t xml:space="preserve">- </w:t>
      </w:r>
      <w:r>
        <w:rPr>
          <w:rFonts w:cs="Times New Roman"/>
          <w:sz w:val="28"/>
          <w:szCs w:val="28"/>
          <w:lang w:val="uk-UA"/>
        </w:rPr>
        <w:t>для формування заявки на потребу у ПДР та ПЛЗ на наступний рік –                    з 01 січня – до 31 грудня року, наступного за поточним.</w:t>
      </w:r>
    </w:p>
    <w:p w:rsidR="00FC6DC6" w:rsidRDefault="00FC6DC6">
      <w:pPr>
        <w:ind w:firstLine="709"/>
        <w:jc w:val="both"/>
        <w:rPr>
          <w:rFonts w:cs="Times New Roman"/>
          <w:sz w:val="28"/>
          <w:szCs w:val="28"/>
          <w:lang w:val="uk-UA"/>
        </w:rPr>
      </w:pPr>
    </w:p>
    <w:p w:rsidR="00FC6DC6" w:rsidRDefault="00FC6DC6">
      <w:pPr>
        <w:ind w:firstLine="709"/>
        <w:jc w:val="both"/>
        <w:rPr>
          <w:rFonts w:cs="Times New Roman"/>
          <w:sz w:val="28"/>
          <w:szCs w:val="28"/>
          <w:lang w:val="uk-UA"/>
        </w:rPr>
      </w:pPr>
      <w:r>
        <w:rPr>
          <w:rFonts w:cs="Times New Roman"/>
          <w:sz w:val="28"/>
          <w:szCs w:val="28"/>
          <w:lang w:val="uk-UA"/>
        </w:rPr>
        <w:t>5. Для здійснення розрахунків потреби в ПДР та ПЛЗ цей Порядок передбачає використання таких вихідних даних:</w:t>
      </w:r>
    </w:p>
    <w:p w:rsidR="00FC6DC6" w:rsidRDefault="00FC6DC6">
      <w:pPr>
        <w:ind w:firstLine="709"/>
        <w:jc w:val="both"/>
        <w:rPr>
          <w:rFonts w:cs="Times New Roman"/>
          <w:sz w:val="28"/>
          <w:szCs w:val="28"/>
          <w:lang w:val="uk-UA"/>
        </w:rPr>
      </w:pPr>
      <w:r>
        <w:rPr>
          <w:rFonts w:cs="Times New Roman"/>
          <w:sz w:val="28"/>
          <w:szCs w:val="28"/>
          <w:lang w:val="uk-UA"/>
        </w:rPr>
        <w:t>5.1. кількість хворих, які протягом року, що передує поточному,  отримали лікування відповідно до галузевих стандартів у сфері охорони здоров'я;</w:t>
      </w:r>
    </w:p>
    <w:p w:rsidR="00FC6DC6" w:rsidRDefault="00FC6DC6">
      <w:pPr>
        <w:ind w:firstLine="709"/>
        <w:jc w:val="both"/>
        <w:rPr>
          <w:rFonts w:cs="Times New Roman"/>
          <w:sz w:val="28"/>
          <w:szCs w:val="28"/>
          <w:lang w:val="uk-UA"/>
        </w:rPr>
      </w:pPr>
      <w:r>
        <w:rPr>
          <w:rFonts w:cs="Times New Roman"/>
          <w:sz w:val="28"/>
          <w:szCs w:val="28"/>
          <w:lang w:val="uk-UA"/>
        </w:rPr>
        <w:t>5.2. кількість ліжок, що були застосовані для лікування в умовах стаціонару;</w:t>
      </w:r>
    </w:p>
    <w:p w:rsidR="00FC6DC6" w:rsidRDefault="00FC6DC6">
      <w:pPr>
        <w:ind w:firstLine="709"/>
        <w:jc w:val="both"/>
        <w:rPr>
          <w:rFonts w:cs="Times New Roman"/>
          <w:sz w:val="28"/>
          <w:szCs w:val="28"/>
          <w:lang w:val="uk-UA"/>
        </w:rPr>
      </w:pPr>
      <w:r>
        <w:rPr>
          <w:rFonts w:cs="Times New Roman"/>
          <w:sz w:val="28"/>
          <w:szCs w:val="28"/>
          <w:lang w:val="uk-UA"/>
        </w:rPr>
        <w:t>5.3. кількість виїздів бригадами Центра екстреної медичної допомоги та медицини катастроф (далі – ЦЕМД та МК) для надання екстреної та невідкладної медичної допомоги;</w:t>
      </w:r>
    </w:p>
    <w:p w:rsidR="00FC6DC6" w:rsidRDefault="00FC6DC6">
      <w:pPr>
        <w:ind w:firstLine="709"/>
        <w:jc w:val="both"/>
        <w:rPr>
          <w:rFonts w:cs="Times New Roman"/>
          <w:sz w:val="28"/>
          <w:szCs w:val="28"/>
          <w:lang w:val="uk-UA"/>
        </w:rPr>
      </w:pPr>
      <w:r>
        <w:rPr>
          <w:rFonts w:cs="Times New Roman"/>
          <w:sz w:val="28"/>
          <w:szCs w:val="28"/>
          <w:lang w:val="uk-UA"/>
        </w:rPr>
        <w:t>5.4. кількість використаних ПЛЗ у перерахунку на ПДР, у році що передує поточному;</w:t>
      </w:r>
    </w:p>
    <w:p w:rsidR="00FC6DC6" w:rsidRDefault="00FC6DC6">
      <w:pPr>
        <w:ind w:firstLine="709"/>
        <w:jc w:val="both"/>
        <w:rPr>
          <w:rFonts w:cs="Times New Roman"/>
          <w:sz w:val="28"/>
          <w:szCs w:val="28"/>
          <w:lang w:val="uk-UA"/>
        </w:rPr>
      </w:pPr>
      <w:r>
        <w:rPr>
          <w:rFonts w:cs="Times New Roman"/>
          <w:sz w:val="28"/>
          <w:szCs w:val="28"/>
          <w:lang w:val="uk-UA"/>
        </w:rPr>
        <w:t>5.5. коефіцієнт зростання хвороб за останні три роки, включаючи, рік, що передує поточному;</w:t>
      </w:r>
    </w:p>
    <w:p w:rsidR="00FC6DC6" w:rsidRDefault="00FC6DC6">
      <w:pPr>
        <w:ind w:firstLine="709"/>
        <w:jc w:val="both"/>
        <w:rPr>
          <w:rFonts w:cs="Times New Roman"/>
          <w:sz w:val="28"/>
          <w:szCs w:val="28"/>
          <w:lang w:val="uk-UA"/>
        </w:rPr>
      </w:pPr>
      <w:r>
        <w:rPr>
          <w:rFonts w:cs="Times New Roman"/>
          <w:sz w:val="28"/>
          <w:szCs w:val="28"/>
          <w:lang w:val="uk-UA"/>
        </w:rPr>
        <w:t>5.6. коефіцієнт смертності за окремими нозологіями, у році, що передує поточному;</w:t>
      </w:r>
    </w:p>
    <w:p w:rsidR="00FC6DC6" w:rsidRDefault="00FC6DC6">
      <w:pPr>
        <w:ind w:firstLine="709"/>
        <w:jc w:val="both"/>
        <w:rPr>
          <w:rFonts w:cs="Times New Roman"/>
          <w:sz w:val="28"/>
          <w:szCs w:val="28"/>
          <w:lang w:val="uk-UA"/>
        </w:rPr>
      </w:pPr>
      <w:r>
        <w:rPr>
          <w:rFonts w:cs="Times New Roman"/>
          <w:sz w:val="28"/>
          <w:szCs w:val="28"/>
          <w:lang w:val="uk-UA"/>
        </w:rPr>
        <w:t>5.7. прогнозована кількість хворих, які потребуватимуть лікування  відповідно до галузевих стандартів у сфері охорони здоров'я, у році, що слідує за поточним;</w:t>
      </w:r>
    </w:p>
    <w:p w:rsidR="00FC6DC6" w:rsidRDefault="00FC6DC6">
      <w:pPr>
        <w:ind w:firstLine="709"/>
        <w:jc w:val="both"/>
        <w:rPr>
          <w:rFonts w:cs="Times New Roman"/>
          <w:sz w:val="28"/>
          <w:szCs w:val="28"/>
          <w:lang w:val="uk-UA"/>
        </w:rPr>
      </w:pPr>
      <w:r>
        <w:rPr>
          <w:rFonts w:cs="Times New Roman"/>
          <w:sz w:val="28"/>
          <w:szCs w:val="28"/>
          <w:lang w:val="uk-UA"/>
        </w:rPr>
        <w:t>5.8. кількість ліжок, передбачених для лікування в умовах стаціонару, у році, що слідує за поточним;</w:t>
      </w:r>
    </w:p>
    <w:p w:rsidR="00FC6DC6" w:rsidRDefault="00FC6DC6">
      <w:pPr>
        <w:ind w:firstLine="709"/>
        <w:jc w:val="both"/>
        <w:rPr>
          <w:rFonts w:cs="Times New Roman"/>
          <w:sz w:val="28"/>
          <w:szCs w:val="28"/>
          <w:lang w:val="uk-UA"/>
        </w:rPr>
      </w:pPr>
      <w:r>
        <w:rPr>
          <w:rFonts w:cs="Times New Roman"/>
          <w:sz w:val="28"/>
          <w:szCs w:val="28"/>
          <w:lang w:val="uk-UA"/>
        </w:rPr>
        <w:t>5.9. прогнозована кількість виїздів бригад  ЦЕМД та МК для надання екстреної та невідкладної медичної допомоги у наступному році.</w:t>
      </w:r>
    </w:p>
    <w:p w:rsidR="00FC6DC6" w:rsidRDefault="00FC6DC6">
      <w:pPr>
        <w:ind w:firstLine="709"/>
        <w:jc w:val="both"/>
        <w:rPr>
          <w:rFonts w:cs="Times New Roman"/>
          <w:sz w:val="28"/>
          <w:szCs w:val="28"/>
          <w:lang w:val="uk-UA"/>
        </w:rPr>
      </w:pPr>
    </w:p>
    <w:p w:rsidR="00FC6DC6" w:rsidRDefault="00FC6DC6">
      <w:pPr>
        <w:jc w:val="both"/>
        <w:rPr>
          <w:rFonts w:cs="Times New Roman"/>
          <w:sz w:val="28"/>
          <w:szCs w:val="28"/>
          <w:lang w:val="uk-UA"/>
        </w:rPr>
      </w:pPr>
      <w:r>
        <w:rPr>
          <w:rFonts w:cs="Times New Roman"/>
          <w:sz w:val="28"/>
          <w:szCs w:val="28"/>
          <w:lang w:val="uk-UA"/>
        </w:rPr>
        <w:tab/>
        <w:t xml:space="preserve">6. Для формування потреби в ПДР та ПЛЗ у кожному закладі охорони здоров’я, який отримав ліцензію на право провадження діяльності, пов’язаної із обігом підконтрольних речовин, у територіальних та регіональних </w:t>
      </w:r>
      <w:r>
        <w:rPr>
          <w:rFonts w:cs="Times New Roman"/>
          <w:color w:val="000000"/>
          <w:sz w:val="28"/>
          <w:szCs w:val="28"/>
          <w:lang w:val="uk-UA"/>
        </w:rPr>
        <w:t>структурних підрозділах з питань</w:t>
      </w:r>
      <w:r>
        <w:rPr>
          <w:rFonts w:cs="Times New Roman"/>
          <w:sz w:val="28"/>
          <w:szCs w:val="28"/>
          <w:lang w:val="uk-UA"/>
        </w:rPr>
        <w:t xml:space="preserve"> охорони здоров’я призначаються особи, відповідальні за узагальнення даних, що містяться у формах звітів про використані у році, що передує поточному, ПДР та ПЛЗ, їх аналізі, а також формуванні заяви на потребу в них на наступний рік.</w:t>
      </w:r>
    </w:p>
    <w:p w:rsidR="00FC6DC6" w:rsidRDefault="00FC6DC6">
      <w:pPr>
        <w:jc w:val="both"/>
        <w:rPr>
          <w:rFonts w:cs="Times New Roman"/>
          <w:sz w:val="28"/>
          <w:szCs w:val="28"/>
          <w:lang w:val="uk-UA"/>
        </w:rPr>
      </w:pPr>
    </w:p>
    <w:p w:rsidR="00FC6DC6" w:rsidRDefault="00FC6DC6">
      <w:pPr>
        <w:ind w:firstLine="708"/>
        <w:jc w:val="both"/>
        <w:rPr>
          <w:rFonts w:cs="Times New Roman"/>
          <w:sz w:val="28"/>
          <w:szCs w:val="28"/>
          <w:lang w:val="uk-UA"/>
        </w:rPr>
      </w:pPr>
      <w:r>
        <w:rPr>
          <w:rFonts w:cs="Times New Roman"/>
          <w:sz w:val="28"/>
          <w:szCs w:val="28"/>
          <w:lang w:val="uk-UA"/>
        </w:rPr>
        <w:tab/>
        <w:t>7. Формування річної потреби відбувається за наступними етапами:</w:t>
      </w:r>
    </w:p>
    <w:p w:rsidR="00FC6DC6" w:rsidRDefault="00FC6DC6">
      <w:pPr>
        <w:ind w:firstLine="708"/>
        <w:jc w:val="both"/>
        <w:rPr>
          <w:rFonts w:cs="Times New Roman"/>
          <w:sz w:val="28"/>
          <w:szCs w:val="28"/>
          <w:lang w:val="uk-UA"/>
        </w:rPr>
      </w:pPr>
      <w:r>
        <w:rPr>
          <w:rFonts w:cs="Times New Roman"/>
          <w:sz w:val="28"/>
          <w:szCs w:val="28"/>
          <w:lang w:val="uk-UA"/>
        </w:rPr>
        <w:t>7.1. формування відділеннями (загальнотерапевтичним, гастроентерологічним, кардіологічним, ревматологічним, алергологічним, ендокринологічним, гематологічним, нефрологічним, імунологічним, пульмонологічним, хірургічним,  травматологічним, ортопедичним, судинної  хірургії, опіковим, нейрохірургічним, торакальної хірургії, кардіохірургічним, урологічним, стоматологічним, проктологічним,  родильним, включаючи патологічні відділення, гінекологічним, включаючи абортні відділення, дитячими відділеннями (неінфекційними), інфекційними, туберкульозними, онкологічними, психіатричними, неврологічними, отоларингологічними, шкірно-венерологічними, психосоматичними, наркологічними, офтальмологічними, відновно лікувальними, радіологічними і рентгенологічними, ортопедичними, травматологічними, відділеннями для вагітних, патології вагітних, гінекологічними, відділеннями для проведення абортів, терапевтичними гр. ВООЗ, анестезіологічними, реанімації та інтенсивної терапії, Центром первинної медико-санітарної допомоги, сайтами замісної підтримувальної терапії тощо), лікувально-профілактичними закладами, фармацевтичними (аптечними) закладами та станціями ЦЕМД та МК звітів про використані ПЛЗ у році, що передує поточному, за формами, зазначеними у додатках 1-4;</w:t>
      </w:r>
    </w:p>
    <w:p w:rsidR="00FC6DC6" w:rsidRDefault="00FC6DC6">
      <w:pPr>
        <w:ind w:firstLine="708"/>
        <w:jc w:val="both"/>
        <w:rPr>
          <w:rFonts w:cs="Times New Roman"/>
          <w:sz w:val="28"/>
          <w:szCs w:val="28"/>
          <w:lang w:val="uk-UA"/>
        </w:rPr>
      </w:pPr>
      <w:r>
        <w:rPr>
          <w:rFonts w:cs="Times New Roman"/>
          <w:sz w:val="28"/>
          <w:szCs w:val="28"/>
          <w:lang w:val="uk-UA"/>
        </w:rPr>
        <w:t xml:space="preserve">7.2. узагальнення територіальними та регіональними структурними підрозділами з питань охорони здоров’я даних, отриманих від суб’єктів зазначених у п.7.1. цього Порядку, та складання звітів у розрізі використаних ПДР у році, що передує поточному, за формою зазначеною у додатку 5; </w:t>
      </w:r>
    </w:p>
    <w:p w:rsidR="00FC6DC6" w:rsidRDefault="00FC6DC6">
      <w:pPr>
        <w:ind w:firstLine="708"/>
        <w:jc w:val="both"/>
        <w:rPr>
          <w:rFonts w:cs="Times New Roman"/>
          <w:sz w:val="28"/>
          <w:szCs w:val="28"/>
          <w:lang w:val="uk-UA"/>
        </w:rPr>
      </w:pPr>
      <w:r>
        <w:rPr>
          <w:rFonts w:cs="Times New Roman"/>
          <w:sz w:val="28"/>
          <w:szCs w:val="28"/>
          <w:lang w:val="uk-UA"/>
        </w:rPr>
        <w:t>7.3. здійснення та затвердження МОЗ України розрахунку загального рекомендованого нормативу споживання (далі – РНС), РНС на одну хвору особу, яка підлягає лікуванню конкретною ПДР; на одне ліжко, яке використовується для лікування конкретною ПДР, а також на один виїзд бригадою ЦЕМД та МК;</w:t>
      </w:r>
    </w:p>
    <w:p w:rsidR="00FC6DC6" w:rsidRDefault="00FC6DC6">
      <w:pPr>
        <w:ind w:firstLine="708"/>
        <w:jc w:val="both"/>
        <w:rPr>
          <w:rFonts w:cs="Times New Roman"/>
          <w:sz w:val="28"/>
          <w:szCs w:val="28"/>
          <w:lang w:val="uk-UA"/>
        </w:rPr>
      </w:pPr>
      <w:r>
        <w:rPr>
          <w:rFonts w:cs="Times New Roman"/>
          <w:sz w:val="28"/>
          <w:szCs w:val="28"/>
          <w:lang w:val="uk-UA"/>
        </w:rPr>
        <w:t xml:space="preserve">7.4. затвердження МОЗ України коефіцієнтів відхилення від РНС в залежності від коливань показників захворюваності, смертності тощо; </w:t>
      </w:r>
    </w:p>
    <w:p w:rsidR="00FC6DC6" w:rsidRDefault="00FC6DC6">
      <w:pPr>
        <w:ind w:firstLine="708"/>
        <w:jc w:val="both"/>
        <w:rPr>
          <w:rFonts w:cs="Times New Roman"/>
          <w:sz w:val="28"/>
          <w:szCs w:val="28"/>
          <w:lang w:val="uk-UA"/>
        </w:rPr>
      </w:pPr>
      <w:r>
        <w:rPr>
          <w:rFonts w:cs="Times New Roman"/>
          <w:sz w:val="28"/>
          <w:szCs w:val="28"/>
          <w:lang w:val="uk-UA"/>
        </w:rPr>
        <w:t xml:space="preserve">7.5. розміщення на сайті ДП “Державний експертний центр МОЗ України” даних стосовно зареєстрованих ПЛЗ, та переліків РНС, у наступному році; </w:t>
      </w:r>
    </w:p>
    <w:p w:rsidR="00FC6DC6" w:rsidRDefault="00FC6DC6">
      <w:pPr>
        <w:ind w:firstLine="708"/>
        <w:jc w:val="both"/>
        <w:rPr>
          <w:rFonts w:cs="Times New Roman"/>
          <w:sz w:val="28"/>
          <w:szCs w:val="28"/>
        </w:rPr>
      </w:pPr>
      <w:r>
        <w:rPr>
          <w:rFonts w:cs="Times New Roman"/>
          <w:sz w:val="28"/>
          <w:szCs w:val="28"/>
          <w:lang w:val="uk-UA"/>
        </w:rPr>
        <w:t>7</w:t>
      </w:r>
      <w:r>
        <w:rPr>
          <w:rFonts w:cs="Times New Roman"/>
          <w:sz w:val="28"/>
          <w:szCs w:val="28"/>
        </w:rPr>
        <w:t>.6. формування заявки на потребу у ПДР та ПЛЗ на наступний рік відділеннями, лікувально-профілактичними закладами, фармацевтичними (аптечними) закладами та станціями ЦЕМД та МК</w:t>
      </w:r>
      <w:r>
        <w:rPr>
          <w:rFonts w:cs="Times New Roman"/>
          <w:sz w:val="28"/>
          <w:szCs w:val="28"/>
          <w:lang w:val="uk-UA"/>
        </w:rPr>
        <w:t>, за формами, зазначеними у додатках 6-9</w:t>
      </w:r>
      <w:r>
        <w:rPr>
          <w:rFonts w:cs="Times New Roman"/>
          <w:sz w:val="28"/>
          <w:szCs w:val="28"/>
        </w:rPr>
        <w:t>;</w:t>
      </w:r>
    </w:p>
    <w:p w:rsidR="00FC6DC6" w:rsidRDefault="00FC6DC6">
      <w:pPr>
        <w:ind w:firstLine="708"/>
        <w:jc w:val="both"/>
        <w:rPr>
          <w:rFonts w:cs="Times New Roman"/>
          <w:sz w:val="28"/>
          <w:szCs w:val="28"/>
          <w:lang w:val="uk-UA"/>
        </w:rPr>
      </w:pPr>
      <w:r>
        <w:rPr>
          <w:rFonts w:cs="Times New Roman"/>
          <w:sz w:val="28"/>
          <w:szCs w:val="28"/>
          <w:lang w:val="uk-UA"/>
        </w:rPr>
        <w:t xml:space="preserve">7.7. поетапне узагальнення територіальними та регіональними структурними підрозділами з питань охорони здоров’я даних отриманих від суб’єктів зазначених у підпункті 7.6., та складання узагальненої заявки на потребу у ПДР на наступний рік, за формою, зазначеною у додатку 10; </w:t>
      </w:r>
    </w:p>
    <w:p w:rsidR="00FC6DC6" w:rsidRDefault="00FC6DC6">
      <w:pPr>
        <w:ind w:firstLine="709"/>
        <w:jc w:val="both"/>
        <w:rPr>
          <w:rFonts w:cs="Times New Roman"/>
          <w:sz w:val="28"/>
          <w:szCs w:val="28"/>
          <w:lang w:val="uk-UA"/>
        </w:rPr>
      </w:pPr>
      <w:r>
        <w:rPr>
          <w:rFonts w:cs="Times New Roman"/>
          <w:sz w:val="28"/>
          <w:szCs w:val="28"/>
          <w:lang w:val="uk-UA"/>
        </w:rPr>
        <w:t>7.8. узагальнення та затвердження МОЗ України заявки структурних підрозділів з питань охорони здоров’я на річну потребу у ПДР;</w:t>
      </w:r>
    </w:p>
    <w:p w:rsidR="00FC6DC6" w:rsidRDefault="00FC6DC6">
      <w:pPr>
        <w:ind w:firstLine="708"/>
        <w:jc w:val="both"/>
        <w:rPr>
          <w:rFonts w:cs="Times New Roman"/>
          <w:sz w:val="28"/>
          <w:szCs w:val="28"/>
          <w:lang w:val="uk-UA"/>
        </w:rPr>
      </w:pPr>
      <w:r>
        <w:rPr>
          <w:rFonts w:cs="Times New Roman"/>
          <w:sz w:val="28"/>
          <w:szCs w:val="28"/>
          <w:lang w:val="uk-UA"/>
        </w:rPr>
        <w:t>7.9. затвердження МОЗ України річного резерву у ПДР.</w:t>
      </w:r>
    </w:p>
    <w:p w:rsidR="00FC6DC6" w:rsidRDefault="00FC6DC6">
      <w:pPr>
        <w:ind w:firstLine="708"/>
        <w:jc w:val="both"/>
        <w:rPr>
          <w:rFonts w:cs="Times New Roman"/>
          <w:sz w:val="28"/>
          <w:szCs w:val="28"/>
          <w:lang w:val="uk-UA"/>
        </w:rPr>
      </w:pPr>
    </w:p>
    <w:p w:rsidR="00FC6DC6" w:rsidRDefault="00FC6DC6">
      <w:pPr>
        <w:ind w:firstLine="708"/>
        <w:jc w:val="both"/>
        <w:rPr>
          <w:rFonts w:cs="Times New Roman"/>
          <w:sz w:val="28"/>
          <w:szCs w:val="28"/>
          <w:lang w:val="uk-UA"/>
        </w:rPr>
      </w:pPr>
      <w:r>
        <w:rPr>
          <w:rFonts w:cs="Times New Roman"/>
          <w:sz w:val="28"/>
          <w:szCs w:val="28"/>
          <w:lang w:val="uk-UA"/>
        </w:rPr>
        <w:t xml:space="preserve">8. Звіти щодо використаних у році, що передує поточному, ПЛЗ формуються та подаються у такій послідовності: </w:t>
      </w:r>
    </w:p>
    <w:p w:rsidR="00FC6DC6" w:rsidRDefault="00FC6DC6">
      <w:pPr>
        <w:ind w:firstLine="708"/>
        <w:jc w:val="both"/>
        <w:rPr>
          <w:rFonts w:cs="Times New Roman"/>
          <w:sz w:val="28"/>
          <w:szCs w:val="28"/>
          <w:lang w:val="uk-UA"/>
        </w:rPr>
      </w:pPr>
      <w:r>
        <w:rPr>
          <w:rFonts w:cs="Times New Roman"/>
          <w:sz w:val="28"/>
          <w:szCs w:val="28"/>
          <w:lang w:val="uk-UA"/>
        </w:rPr>
        <w:t>8.1. відділення лікувально-профілактичного закладу подає звіт до особи, відповідальної у цьому закладі за узагальнення даних, до 01 липня поточного року;</w:t>
      </w:r>
    </w:p>
    <w:p w:rsidR="00FC6DC6" w:rsidRDefault="00FC6DC6">
      <w:pPr>
        <w:ind w:firstLine="708"/>
        <w:jc w:val="both"/>
        <w:rPr>
          <w:rFonts w:cs="Times New Roman"/>
          <w:sz w:val="28"/>
          <w:szCs w:val="28"/>
          <w:lang w:val="uk-UA"/>
        </w:rPr>
      </w:pPr>
      <w:r>
        <w:rPr>
          <w:rFonts w:cs="Times New Roman"/>
          <w:sz w:val="28"/>
          <w:szCs w:val="28"/>
          <w:lang w:val="uk-UA"/>
        </w:rPr>
        <w:t>8.2. лікувально-профілактичні заклади, фармацевтичні (аптечні) заклади та станції Центрів екстреної медичної допомоги та медицини катастроф подають звіти до особи, відповідальної за узагальнення даних у районному структурному підрозділі з питань охорони здоров’я  до 10 липня поточного року;</w:t>
      </w:r>
    </w:p>
    <w:p w:rsidR="00FC6DC6" w:rsidRDefault="00FC6DC6">
      <w:pPr>
        <w:ind w:firstLine="708"/>
        <w:jc w:val="both"/>
        <w:rPr>
          <w:rFonts w:cs="Times New Roman"/>
          <w:sz w:val="28"/>
          <w:szCs w:val="28"/>
          <w:lang w:val="uk-UA"/>
        </w:rPr>
      </w:pPr>
      <w:r>
        <w:rPr>
          <w:rFonts w:cs="Times New Roman"/>
          <w:sz w:val="28"/>
          <w:szCs w:val="28"/>
          <w:lang w:val="uk-UA"/>
        </w:rPr>
        <w:t>8.3. районний структурний підрозділ з питань охорони здоров’я подає звіт до особи, відповідальної за узагальнення даних у місцевому структурному підрозділі з питань охорони здоров’я до 20 липня поточного року;</w:t>
      </w:r>
    </w:p>
    <w:p w:rsidR="00FC6DC6" w:rsidRDefault="00FC6DC6">
      <w:pPr>
        <w:ind w:firstLine="708"/>
        <w:jc w:val="both"/>
        <w:rPr>
          <w:rFonts w:cs="Times New Roman"/>
          <w:sz w:val="28"/>
          <w:szCs w:val="28"/>
          <w:lang w:val="uk-UA"/>
        </w:rPr>
      </w:pPr>
      <w:r>
        <w:rPr>
          <w:rFonts w:cs="Times New Roman"/>
          <w:sz w:val="28"/>
          <w:szCs w:val="28"/>
          <w:lang w:val="uk-UA"/>
        </w:rPr>
        <w:t>8.4. місцевий структурний підрозділ з питань охорони здоров’я подає звіт до особи відповідальної за узагальнення даних у регіональному структурному підрозділі з питань охорони здоров’я, до 30 липня поточного року;</w:t>
      </w:r>
    </w:p>
    <w:p w:rsidR="00FC6DC6" w:rsidRDefault="00FC6DC6">
      <w:pPr>
        <w:ind w:firstLine="708"/>
        <w:jc w:val="both"/>
        <w:rPr>
          <w:rFonts w:cs="Times New Roman"/>
          <w:sz w:val="28"/>
          <w:szCs w:val="28"/>
          <w:lang w:val="uk-UA"/>
        </w:rPr>
      </w:pPr>
      <w:r>
        <w:rPr>
          <w:rFonts w:cs="Times New Roman"/>
          <w:sz w:val="28"/>
          <w:szCs w:val="28"/>
          <w:lang w:val="uk-UA"/>
        </w:rPr>
        <w:t>8.5. регіональні структурні підрозділи з питань охорони здоров’я подають до ДП “ДЕЦ МОЗ України” до 15 серпня поточного року.</w:t>
      </w:r>
    </w:p>
    <w:p w:rsidR="00FC6DC6" w:rsidRDefault="00FC6DC6">
      <w:pPr>
        <w:ind w:firstLine="708"/>
        <w:jc w:val="both"/>
        <w:rPr>
          <w:rFonts w:cs="Times New Roman"/>
          <w:sz w:val="28"/>
          <w:szCs w:val="28"/>
          <w:lang w:val="uk-UA"/>
        </w:rPr>
      </w:pPr>
    </w:p>
    <w:p w:rsidR="00FC6DC6" w:rsidRDefault="00FC6DC6">
      <w:pPr>
        <w:ind w:firstLine="709"/>
        <w:jc w:val="both"/>
        <w:rPr>
          <w:rFonts w:cs="Times New Roman"/>
          <w:sz w:val="28"/>
          <w:szCs w:val="28"/>
          <w:lang w:val="uk-UA"/>
        </w:rPr>
      </w:pPr>
      <w:r>
        <w:rPr>
          <w:rFonts w:cs="Times New Roman"/>
          <w:sz w:val="28"/>
          <w:szCs w:val="28"/>
          <w:lang w:val="uk-UA"/>
        </w:rPr>
        <w:t xml:space="preserve">9. Розрахунок та затвердження РНС та коефіцієнту відхилення </w:t>
      </w:r>
    </w:p>
    <w:p w:rsidR="00FC6DC6" w:rsidRDefault="00FC6DC6">
      <w:pPr>
        <w:ind w:firstLine="709"/>
        <w:jc w:val="both"/>
        <w:rPr>
          <w:rFonts w:cs="Times New Roman"/>
          <w:sz w:val="28"/>
          <w:szCs w:val="28"/>
          <w:lang w:val="uk-UA"/>
        </w:rPr>
      </w:pPr>
      <w:r>
        <w:rPr>
          <w:rFonts w:cs="Times New Roman"/>
          <w:sz w:val="28"/>
          <w:szCs w:val="28"/>
          <w:lang w:val="uk-UA"/>
        </w:rPr>
        <w:t>9.1. РНС на наступний рік розраховується та затверджується за кожною окремою назвою ПДР, відповідно до її використання в лікуванні, для наступних категорій:</w:t>
      </w:r>
    </w:p>
    <w:p w:rsidR="00FC6DC6" w:rsidRDefault="00FC6DC6">
      <w:pPr>
        <w:ind w:firstLine="709"/>
        <w:jc w:val="both"/>
        <w:rPr>
          <w:rFonts w:cs="Times New Roman"/>
          <w:sz w:val="28"/>
          <w:szCs w:val="28"/>
          <w:lang w:val="uk-UA"/>
        </w:rPr>
      </w:pPr>
      <w:r>
        <w:rPr>
          <w:rFonts w:cs="Times New Roman"/>
          <w:sz w:val="28"/>
          <w:szCs w:val="28"/>
          <w:lang w:val="uk-UA"/>
        </w:rPr>
        <w:t xml:space="preserve"> - загальний, відповідно до загальної кількості хворих осіб або у розрізі нозологій, при лікуванні яких використовують лікарські засоби, що містять наркотичні засоби і психотропні речовини;</w:t>
      </w:r>
    </w:p>
    <w:p w:rsidR="00FC6DC6" w:rsidRDefault="00FC6DC6">
      <w:pPr>
        <w:ind w:firstLine="709"/>
        <w:jc w:val="both"/>
        <w:rPr>
          <w:rFonts w:cs="Times New Roman"/>
          <w:sz w:val="28"/>
          <w:szCs w:val="28"/>
          <w:lang w:val="uk-UA"/>
        </w:rPr>
      </w:pPr>
      <w:r>
        <w:rPr>
          <w:rFonts w:cs="Times New Roman"/>
          <w:sz w:val="28"/>
          <w:szCs w:val="28"/>
          <w:lang w:val="uk-UA"/>
        </w:rPr>
        <w:t xml:space="preserve"> - на одну хвору особу, відповідно до нозологій, при лікуванні яких використовують лікарські засоби, що містять наркотичні засоби і психотропні речовини;</w:t>
      </w:r>
    </w:p>
    <w:p w:rsidR="00FC6DC6" w:rsidRDefault="00FC6DC6">
      <w:pPr>
        <w:ind w:firstLine="709"/>
        <w:jc w:val="both"/>
        <w:rPr>
          <w:rFonts w:cs="Times New Roman"/>
          <w:sz w:val="28"/>
          <w:szCs w:val="28"/>
          <w:lang w:val="uk-UA"/>
        </w:rPr>
      </w:pPr>
      <w:r>
        <w:rPr>
          <w:rFonts w:cs="Times New Roman"/>
          <w:sz w:val="28"/>
          <w:szCs w:val="28"/>
          <w:lang w:val="uk-UA"/>
        </w:rPr>
        <w:t xml:space="preserve"> - на одне ліжко, відповідно до кількості ліжок у відділенні, відповідно до нозологій, при лікуванні яких використовують лікарські засоби, що містять наркотичні засоби і психотропні речовини;</w:t>
      </w:r>
    </w:p>
    <w:p w:rsidR="00FC6DC6" w:rsidRDefault="00FC6DC6">
      <w:pPr>
        <w:ind w:firstLine="709"/>
        <w:jc w:val="both"/>
        <w:rPr>
          <w:rFonts w:cs="Times New Roman"/>
          <w:sz w:val="28"/>
          <w:szCs w:val="28"/>
          <w:lang w:val="uk-UA"/>
        </w:rPr>
      </w:pPr>
      <w:r>
        <w:rPr>
          <w:rFonts w:cs="Times New Roman"/>
          <w:sz w:val="28"/>
          <w:szCs w:val="28"/>
          <w:lang w:val="uk-UA"/>
        </w:rPr>
        <w:t xml:space="preserve"> - на один виїзд бригади ЦЕМД та МК, при яких надавалась медична допомога підконтрольними лікарськими засобами.</w:t>
      </w:r>
    </w:p>
    <w:p w:rsidR="00FC6DC6" w:rsidRDefault="00FC6DC6">
      <w:pPr>
        <w:ind w:firstLine="709"/>
        <w:jc w:val="both"/>
        <w:rPr>
          <w:rFonts w:cs="Times New Roman"/>
          <w:sz w:val="28"/>
          <w:szCs w:val="28"/>
          <w:lang w:val="uk-UA"/>
        </w:rPr>
      </w:pPr>
      <w:r>
        <w:rPr>
          <w:rFonts w:cs="Times New Roman"/>
          <w:sz w:val="28"/>
          <w:szCs w:val="28"/>
          <w:lang w:val="uk-UA"/>
        </w:rPr>
        <w:t>9.2. Для розрахунку РНС на наступний рік конкретної ПДР здійснюється узагальнення даних ВООЗ стосовно споживання ПДР на одну хвору особу, у рік, що передує поточному, та даних МОЗ України, зазначених у п. 6 за цей же період, а саме:</w:t>
      </w:r>
    </w:p>
    <w:p w:rsidR="00FC6DC6" w:rsidRDefault="00FC6DC6">
      <w:pPr>
        <w:ind w:firstLine="709"/>
        <w:jc w:val="both"/>
        <w:rPr>
          <w:rFonts w:cs="Times New Roman"/>
          <w:sz w:val="28"/>
          <w:szCs w:val="28"/>
          <w:lang w:val="uk-UA"/>
        </w:rPr>
      </w:pPr>
      <w:r>
        <w:rPr>
          <w:rFonts w:cs="Times New Roman"/>
          <w:sz w:val="28"/>
          <w:szCs w:val="28"/>
          <w:lang w:val="uk-UA"/>
        </w:rPr>
        <w:t>- спожитих ПЛЗ (ампул, таблеток, флаконів тощо), у перерахунку на ПДР (загальна та на одну хвору особу, одне ліжко за нозологіями, на один виїзд бригадою ЦЕМД та МК);</w:t>
      </w:r>
    </w:p>
    <w:p w:rsidR="00FC6DC6" w:rsidRDefault="00FC6DC6">
      <w:pPr>
        <w:ind w:firstLine="709"/>
        <w:jc w:val="both"/>
        <w:rPr>
          <w:rFonts w:cs="Times New Roman"/>
          <w:sz w:val="28"/>
          <w:szCs w:val="28"/>
          <w:lang w:val="uk-UA"/>
        </w:rPr>
      </w:pPr>
      <w:r>
        <w:rPr>
          <w:rFonts w:cs="Times New Roman"/>
          <w:sz w:val="28"/>
          <w:szCs w:val="28"/>
          <w:lang w:val="uk-UA"/>
        </w:rPr>
        <w:t>- хворих, що отримали медичну допомогу (загальна та у розрізі нозологій);</w:t>
      </w:r>
    </w:p>
    <w:p w:rsidR="00FC6DC6" w:rsidRDefault="00FC6DC6">
      <w:pPr>
        <w:ind w:firstLine="709"/>
        <w:jc w:val="both"/>
        <w:rPr>
          <w:rFonts w:cs="Times New Roman"/>
          <w:sz w:val="28"/>
          <w:szCs w:val="28"/>
          <w:lang w:val="uk-UA"/>
        </w:rPr>
      </w:pPr>
      <w:r>
        <w:rPr>
          <w:rFonts w:cs="Times New Roman"/>
          <w:sz w:val="28"/>
          <w:szCs w:val="28"/>
          <w:lang w:val="uk-UA"/>
        </w:rPr>
        <w:t>- ліжок, що використовувались для лікування (загальна та у розрізі нозологій);</w:t>
      </w:r>
    </w:p>
    <w:p w:rsidR="00FC6DC6" w:rsidRDefault="00FC6DC6">
      <w:pPr>
        <w:ind w:firstLine="709"/>
        <w:jc w:val="both"/>
        <w:rPr>
          <w:rFonts w:cs="Times New Roman"/>
          <w:sz w:val="28"/>
          <w:szCs w:val="28"/>
          <w:lang w:val="uk-UA"/>
        </w:rPr>
      </w:pPr>
      <w:r>
        <w:rPr>
          <w:rFonts w:cs="Times New Roman"/>
          <w:sz w:val="28"/>
          <w:szCs w:val="28"/>
          <w:lang w:val="uk-UA"/>
        </w:rPr>
        <w:t xml:space="preserve"> - кількість виїздів бригадами ЦЕМД та МК, при яких надавалась медична допомога підконтрольними лікарськими засобами.</w:t>
      </w:r>
    </w:p>
    <w:p w:rsidR="00FC6DC6" w:rsidRDefault="00FC6DC6">
      <w:pPr>
        <w:ind w:firstLine="709"/>
        <w:jc w:val="both"/>
        <w:rPr>
          <w:rFonts w:cs="Times New Roman"/>
          <w:sz w:val="28"/>
          <w:szCs w:val="28"/>
          <w:lang w:val="uk-UA"/>
        </w:rPr>
      </w:pPr>
      <w:r>
        <w:rPr>
          <w:rFonts w:cs="Times New Roman"/>
          <w:sz w:val="28"/>
          <w:szCs w:val="28"/>
          <w:lang w:val="uk-UA"/>
        </w:rPr>
        <w:t>9.3. РНС має бути не меншим за споживання підконтрольних лікарських засобів у минулий період та максимально наближеним до показника рекомендованого ВООЗ.</w:t>
      </w:r>
    </w:p>
    <w:p w:rsidR="00FC6DC6" w:rsidRDefault="00FC6DC6">
      <w:pPr>
        <w:ind w:firstLine="709"/>
        <w:jc w:val="both"/>
        <w:rPr>
          <w:rFonts w:cs="Times New Roman"/>
          <w:sz w:val="28"/>
          <w:szCs w:val="28"/>
          <w:lang w:val="uk-UA"/>
        </w:rPr>
      </w:pPr>
      <w:r>
        <w:rPr>
          <w:rFonts w:cs="Times New Roman"/>
          <w:sz w:val="28"/>
          <w:szCs w:val="28"/>
          <w:lang w:val="uk-UA"/>
        </w:rPr>
        <w:t>9.4. Для найбільш об’єктивного розрахунку РНС, для окремих нозологій, за якими фіксується найбільший показник споживання підконтрольних лікарських засобів за минулий період, або найбільший показник смертності затверджуються коефіцієнти відхилення.</w:t>
      </w:r>
    </w:p>
    <w:p w:rsidR="00FC6DC6" w:rsidRDefault="00FC6DC6">
      <w:pPr>
        <w:ind w:firstLine="709"/>
        <w:jc w:val="both"/>
        <w:rPr>
          <w:rFonts w:cs="Times New Roman"/>
          <w:sz w:val="28"/>
          <w:szCs w:val="28"/>
          <w:lang w:val="uk-UA"/>
        </w:rPr>
      </w:pPr>
      <w:r>
        <w:rPr>
          <w:rFonts w:cs="Times New Roman"/>
          <w:sz w:val="28"/>
          <w:szCs w:val="28"/>
          <w:lang w:val="uk-UA"/>
        </w:rPr>
        <w:t>9.5. Коефіцієнт відхилення розраховується ДЗ “Центр медичної статистики МОЗ України”.</w:t>
      </w:r>
    </w:p>
    <w:p w:rsidR="00FC6DC6" w:rsidRDefault="00FC6DC6">
      <w:pPr>
        <w:ind w:firstLine="709"/>
        <w:jc w:val="both"/>
        <w:rPr>
          <w:rFonts w:cs="Times New Roman"/>
          <w:sz w:val="28"/>
          <w:szCs w:val="28"/>
          <w:lang w:val="uk-UA"/>
        </w:rPr>
      </w:pPr>
      <w:r>
        <w:rPr>
          <w:rFonts w:cs="Times New Roman"/>
          <w:sz w:val="28"/>
          <w:szCs w:val="28"/>
          <w:lang w:val="uk-UA"/>
        </w:rPr>
        <w:t xml:space="preserve">9.6. Коефіцієнт відхилення розраховується по кожній ПДР (у відсотках) у розрізі: </w:t>
      </w:r>
    </w:p>
    <w:p w:rsidR="00FC6DC6" w:rsidRDefault="00FC6DC6">
      <w:pPr>
        <w:ind w:firstLine="709"/>
        <w:jc w:val="both"/>
        <w:rPr>
          <w:rFonts w:cs="Times New Roman"/>
          <w:sz w:val="28"/>
          <w:szCs w:val="28"/>
          <w:lang w:val="uk-UA"/>
        </w:rPr>
      </w:pPr>
      <w:r>
        <w:rPr>
          <w:rFonts w:cs="Times New Roman"/>
          <w:sz w:val="28"/>
          <w:szCs w:val="28"/>
          <w:lang w:val="uk-UA"/>
        </w:rPr>
        <w:t>за нозологіями, при лікуванні яких, відповідно до галузевих стандартів у сфері охорони здоров'я, використовуються ці ПДР, загальної кількості хронічно хворих осіб.</w:t>
      </w:r>
    </w:p>
    <w:p w:rsidR="00FC6DC6" w:rsidRDefault="00FC6DC6">
      <w:pPr>
        <w:ind w:firstLine="709"/>
        <w:jc w:val="both"/>
        <w:rPr>
          <w:rFonts w:cs="Times New Roman"/>
          <w:sz w:val="28"/>
          <w:szCs w:val="28"/>
          <w:lang w:val="uk-UA"/>
        </w:rPr>
      </w:pPr>
      <w:r>
        <w:rPr>
          <w:rFonts w:cs="Times New Roman"/>
          <w:sz w:val="28"/>
          <w:szCs w:val="28"/>
          <w:lang w:val="uk-UA"/>
        </w:rPr>
        <w:t>- смертності від онкологічних захворювань, травм, опіків тощо (хвороби за якими фіксується найбільший показник смертності);</w:t>
      </w:r>
    </w:p>
    <w:p w:rsidR="00FC6DC6" w:rsidRDefault="00FC6DC6">
      <w:pPr>
        <w:ind w:firstLine="709"/>
        <w:jc w:val="both"/>
        <w:rPr>
          <w:rFonts w:cs="Times New Roman"/>
          <w:sz w:val="28"/>
          <w:szCs w:val="28"/>
          <w:lang w:val="uk-UA"/>
        </w:rPr>
      </w:pPr>
      <w:r>
        <w:rPr>
          <w:rFonts w:cs="Times New Roman"/>
          <w:sz w:val="28"/>
          <w:szCs w:val="28"/>
          <w:lang w:val="uk-UA"/>
        </w:rPr>
        <w:t>- коефіцієнт зростання хвороб.</w:t>
      </w:r>
    </w:p>
    <w:p w:rsidR="00FC6DC6" w:rsidRDefault="00FC6DC6">
      <w:pPr>
        <w:ind w:firstLine="709"/>
        <w:jc w:val="both"/>
        <w:rPr>
          <w:rFonts w:cs="Times New Roman"/>
          <w:sz w:val="28"/>
          <w:szCs w:val="28"/>
          <w:lang w:val="uk-UA"/>
        </w:rPr>
      </w:pPr>
      <w:r>
        <w:rPr>
          <w:rFonts w:cs="Times New Roman"/>
          <w:sz w:val="28"/>
          <w:szCs w:val="28"/>
          <w:lang w:val="uk-UA"/>
        </w:rPr>
        <w:t>Коефіцієнт відхилення для аптек має бути розрахований виходячи з економічної складової.</w:t>
      </w:r>
    </w:p>
    <w:p w:rsidR="00FC6DC6" w:rsidRDefault="00FC6DC6">
      <w:pPr>
        <w:ind w:firstLine="709"/>
        <w:jc w:val="both"/>
        <w:rPr>
          <w:rFonts w:cs="Times New Roman"/>
          <w:sz w:val="28"/>
          <w:szCs w:val="28"/>
          <w:lang w:val="uk-UA"/>
        </w:rPr>
      </w:pPr>
      <w:r>
        <w:rPr>
          <w:rFonts w:cs="Times New Roman"/>
          <w:sz w:val="28"/>
          <w:szCs w:val="28"/>
          <w:lang w:val="uk-UA"/>
        </w:rPr>
        <w:t>9.7. Розрахунки РНС для лікарських засобів, що містять наркотичні засоби і психотропні речовини, включені до таблиць ІІ і ІІІ Переліку, здійснюються за формою зазначеною у додатку 11.</w:t>
      </w:r>
    </w:p>
    <w:p w:rsidR="00FC6DC6" w:rsidRDefault="00FC6DC6">
      <w:pPr>
        <w:ind w:firstLine="709"/>
        <w:jc w:val="both"/>
        <w:rPr>
          <w:rFonts w:cs="Times New Roman"/>
          <w:sz w:val="28"/>
          <w:szCs w:val="28"/>
          <w:lang w:val="uk-UA"/>
        </w:rPr>
      </w:pPr>
      <w:r>
        <w:rPr>
          <w:rFonts w:cs="Times New Roman"/>
          <w:sz w:val="28"/>
          <w:szCs w:val="28"/>
          <w:lang w:val="uk-UA"/>
        </w:rPr>
        <w:t>Розрахунок РНС для лікарських засобів, що використовують для лікування хворих з опоїдною залежністю необхідно здійснювати відповідно до наказу МОЗ України від 27.03.2012 № 200 “Про затвердження Порядку проведення замісної підтримувальної терапії хворих з опіоїдною залежністю”.</w:t>
      </w:r>
    </w:p>
    <w:p w:rsidR="00FC6DC6" w:rsidRDefault="00FC6DC6">
      <w:pPr>
        <w:ind w:firstLine="709"/>
        <w:jc w:val="both"/>
        <w:rPr>
          <w:rFonts w:cs="Times New Roman"/>
          <w:sz w:val="28"/>
          <w:szCs w:val="28"/>
          <w:lang w:val="uk-UA"/>
        </w:rPr>
      </w:pPr>
    </w:p>
    <w:p w:rsidR="00FC6DC6" w:rsidRDefault="00FC6DC6">
      <w:pPr>
        <w:ind w:firstLine="709"/>
        <w:jc w:val="both"/>
        <w:rPr>
          <w:rFonts w:cs="Times New Roman"/>
          <w:sz w:val="28"/>
          <w:szCs w:val="28"/>
          <w:lang w:val="uk-UA"/>
        </w:rPr>
      </w:pPr>
      <w:r>
        <w:rPr>
          <w:rFonts w:cs="Times New Roman"/>
          <w:sz w:val="28"/>
          <w:szCs w:val="28"/>
          <w:lang w:val="uk-UA"/>
        </w:rPr>
        <w:t>10.  Для розрахунку річної потреби у ПЛЗ  ДП “ДЕЦ МОЗ України” до  31 серпня поточного року готує офіційне повідомлення стосовно:</w:t>
      </w:r>
    </w:p>
    <w:p w:rsidR="00FC6DC6" w:rsidRDefault="00FC6DC6">
      <w:pPr>
        <w:ind w:firstLine="709"/>
        <w:jc w:val="both"/>
        <w:rPr>
          <w:rFonts w:cs="Times New Roman"/>
          <w:sz w:val="28"/>
          <w:szCs w:val="28"/>
          <w:lang w:val="uk-UA"/>
        </w:rPr>
      </w:pPr>
      <w:r>
        <w:rPr>
          <w:rFonts w:cs="Times New Roman"/>
          <w:sz w:val="28"/>
          <w:szCs w:val="28"/>
          <w:lang w:val="uk-UA"/>
        </w:rPr>
        <w:t xml:space="preserve">-  переліків зареєстрованих в Україні ПЛЗ, </w:t>
      </w:r>
    </w:p>
    <w:p w:rsidR="00FC6DC6" w:rsidRDefault="00FC6DC6">
      <w:pPr>
        <w:ind w:firstLine="709"/>
        <w:jc w:val="both"/>
        <w:rPr>
          <w:rFonts w:cs="Times New Roman"/>
          <w:sz w:val="28"/>
          <w:szCs w:val="28"/>
          <w:lang w:val="uk-UA"/>
        </w:rPr>
      </w:pPr>
      <w:r>
        <w:rPr>
          <w:rFonts w:cs="Times New Roman"/>
          <w:sz w:val="28"/>
          <w:szCs w:val="28"/>
          <w:lang w:val="uk-UA"/>
        </w:rPr>
        <w:t xml:space="preserve">- переліків РНС, загального та на одну хвору особу, одне ліжко, один виїзд бригадою ЦЕМД та МК, за формою зазначеною у додатку 12. </w:t>
      </w:r>
    </w:p>
    <w:p w:rsidR="00FC6DC6" w:rsidRDefault="00FC6DC6">
      <w:pPr>
        <w:ind w:firstLine="709"/>
        <w:jc w:val="both"/>
        <w:rPr>
          <w:rFonts w:cs="Times New Roman"/>
          <w:sz w:val="28"/>
          <w:szCs w:val="28"/>
          <w:lang w:val="uk-UA"/>
        </w:rPr>
      </w:pPr>
      <w:r>
        <w:rPr>
          <w:rFonts w:cs="Times New Roman"/>
          <w:sz w:val="28"/>
          <w:szCs w:val="28"/>
          <w:lang w:val="uk-UA"/>
        </w:rPr>
        <w:t>10.2. МОЗ України щорічно до 01 жовтня поточного року затверджуються РНС загальний, відповідно до всіх хворих осіб, а також на одну хвору особу, відповідно до нозологій, одне ліжко, один виїзд бригадою ЦЕМД та МК та коефіцієнти відхилення до них.</w:t>
      </w:r>
    </w:p>
    <w:p w:rsidR="00FC6DC6" w:rsidRDefault="00FC6DC6">
      <w:pPr>
        <w:ind w:firstLine="709"/>
        <w:jc w:val="both"/>
        <w:rPr>
          <w:rFonts w:cs="Times New Roman"/>
          <w:sz w:val="28"/>
          <w:szCs w:val="28"/>
          <w:lang w:val="uk-UA"/>
        </w:rPr>
      </w:pPr>
    </w:p>
    <w:p w:rsidR="00FC6DC6" w:rsidRDefault="00FC6DC6">
      <w:pPr>
        <w:ind w:firstLine="709"/>
        <w:jc w:val="both"/>
        <w:rPr>
          <w:rFonts w:cs="Times New Roman"/>
          <w:sz w:val="28"/>
          <w:szCs w:val="28"/>
          <w:lang w:val="uk-UA"/>
        </w:rPr>
      </w:pPr>
      <w:r>
        <w:rPr>
          <w:rFonts w:cs="Times New Roman"/>
          <w:sz w:val="28"/>
          <w:szCs w:val="28"/>
          <w:lang w:val="uk-UA"/>
        </w:rPr>
        <w:t>11. Потреба у ПЛЗ формується на підставі потреби у ПДР.</w:t>
      </w:r>
    </w:p>
    <w:p w:rsidR="00FC6DC6" w:rsidRDefault="00FC6DC6">
      <w:pPr>
        <w:ind w:firstLine="709"/>
        <w:jc w:val="both"/>
        <w:rPr>
          <w:rFonts w:cs="Times New Roman"/>
          <w:sz w:val="28"/>
          <w:szCs w:val="28"/>
          <w:lang w:val="uk-UA"/>
        </w:rPr>
      </w:pPr>
    </w:p>
    <w:p w:rsidR="00FC6DC6" w:rsidRDefault="00FC6DC6">
      <w:pPr>
        <w:ind w:firstLine="709"/>
        <w:jc w:val="both"/>
        <w:rPr>
          <w:rFonts w:cs="Times New Roman"/>
          <w:color w:val="000000"/>
          <w:sz w:val="28"/>
          <w:szCs w:val="28"/>
          <w:lang w:val="uk-UA"/>
        </w:rPr>
      </w:pPr>
      <w:r>
        <w:rPr>
          <w:rFonts w:cs="Times New Roman"/>
          <w:sz w:val="28"/>
          <w:szCs w:val="28"/>
          <w:lang w:val="uk-UA"/>
        </w:rPr>
        <w:t>12. Розрахунки потреби в ПДР</w:t>
      </w:r>
      <w:r>
        <w:rPr>
          <w:rFonts w:cs="Times New Roman"/>
          <w:color w:val="000000"/>
          <w:sz w:val="28"/>
          <w:szCs w:val="28"/>
          <w:lang w:val="uk-UA"/>
        </w:rPr>
        <w:t xml:space="preserve"> здійснюються з урахуванням особливостей їх використання</w:t>
      </w:r>
      <w:r>
        <w:rPr>
          <w:rFonts w:cs="Times New Roman"/>
          <w:sz w:val="28"/>
          <w:szCs w:val="28"/>
          <w:lang w:val="uk-UA"/>
        </w:rPr>
        <w:t xml:space="preserve"> у лікуванні, </w:t>
      </w:r>
      <w:r>
        <w:rPr>
          <w:rFonts w:cs="Times New Roman"/>
          <w:color w:val="000000"/>
          <w:sz w:val="28"/>
          <w:szCs w:val="28"/>
          <w:lang w:val="uk-UA"/>
        </w:rPr>
        <w:t>за такими алгоритмами:</w:t>
      </w:r>
    </w:p>
    <w:p w:rsidR="00FC6DC6" w:rsidRDefault="00FC6DC6">
      <w:pPr>
        <w:ind w:firstLine="709"/>
        <w:jc w:val="both"/>
        <w:rPr>
          <w:rFonts w:cs="Times New Roman"/>
          <w:sz w:val="28"/>
          <w:szCs w:val="28"/>
          <w:lang w:val="uk-UA"/>
        </w:rPr>
      </w:pPr>
      <w:r>
        <w:rPr>
          <w:rFonts w:cs="Times New Roman"/>
          <w:sz w:val="28"/>
          <w:szCs w:val="28"/>
          <w:lang w:val="uk-UA"/>
        </w:rPr>
        <w:t>12.1. Для відділень та лікувально-профілактичних закладів:</w:t>
      </w:r>
    </w:p>
    <w:p w:rsidR="00FC6DC6" w:rsidRDefault="00FC6DC6">
      <w:pPr>
        <w:ind w:firstLine="709"/>
        <w:jc w:val="both"/>
        <w:rPr>
          <w:rFonts w:cs="Times New Roman"/>
          <w:color w:val="000000"/>
          <w:sz w:val="28"/>
          <w:szCs w:val="28"/>
          <w:lang w:val="uk-UA"/>
        </w:rPr>
      </w:pPr>
      <w:r>
        <w:rPr>
          <w:rFonts w:cs="Times New Roman"/>
          <w:color w:val="000000"/>
          <w:sz w:val="28"/>
          <w:szCs w:val="28"/>
          <w:lang w:val="uk-UA"/>
        </w:rPr>
        <w:t xml:space="preserve">P = N х Q х 360, де: </w:t>
      </w:r>
    </w:p>
    <w:p w:rsidR="00FC6DC6" w:rsidRDefault="00FC6DC6">
      <w:pPr>
        <w:ind w:firstLine="709"/>
        <w:jc w:val="both"/>
        <w:rPr>
          <w:rFonts w:cs="Times New Roman"/>
          <w:color w:val="000000"/>
          <w:sz w:val="28"/>
          <w:szCs w:val="28"/>
          <w:lang w:val="uk-UA"/>
        </w:rPr>
      </w:pPr>
      <w:r>
        <w:rPr>
          <w:rFonts w:cs="Times New Roman"/>
          <w:color w:val="000000"/>
          <w:sz w:val="28"/>
          <w:szCs w:val="28"/>
          <w:lang w:val="uk-UA"/>
        </w:rPr>
        <w:t>P – потреба в ПДР;</w:t>
      </w:r>
    </w:p>
    <w:p w:rsidR="00FC6DC6" w:rsidRDefault="00FC6DC6">
      <w:pPr>
        <w:ind w:firstLine="709"/>
        <w:jc w:val="both"/>
        <w:rPr>
          <w:rFonts w:cs="Times New Roman"/>
          <w:color w:val="000000"/>
          <w:sz w:val="28"/>
          <w:szCs w:val="28"/>
          <w:lang w:val="uk-UA"/>
        </w:rPr>
      </w:pPr>
      <w:r>
        <w:rPr>
          <w:rFonts w:cs="Times New Roman"/>
          <w:color w:val="000000"/>
          <w:sz w:val="28"/>
          <w:szCs w:val="28"/>
          <w:lang w:val="uk-UA"/>
        </w:rPr>
        <w:t xml:space="preserve">N – рекомендований норматив споживання на одне ліжко; </w:t>
      </w:r>
    </w:p>
    <w:p w:rsidR="00FC6DC6" w:rsidRDefault="00FC6DC6">
      <w:pPr>
        <w:ind w:firstLine="709"/>
        <w:jc w:val="both"/>
        <w:rPr>
          <w:rFonts w:cs="Times New Roman"/>
          <w:color w:val="000000"/>
          <w:sz w:val="28"/>
          <w:szCs w:val="28"/>
          <w:lang w:val="uk-UA"/>
        </w:rPr>
      </w:pPr>
      <w:r>
        <w:rPr>
          <w:rFonts w:cs="Times New Roman"/>
          <w:color w:val="000000"/>
          <w:sz w:val="28"/>
          <w:szCs w:val="28"/>
          <w:lang w:val="uk-UA"/>
        </w:rPr>
        <w:t>Q - фактична кількість ліжок.</w:t>
      </w:r>
    </w:p>
    <w:p w:rsidR="00FC6DC6" w:rsidRDefault="00FC6DC6">
      <w:pPr>
        <w:ind w:firstLine="709"/>
        <w:jc w:val="both"/>
        <w:rPr>
          <w:rFonts w:cs="Times New Roman"/>
          <w:color w:val="000000"/>
          <w:sz w:val="28"/>
          <w:szCs w:val="28"/>
          <w:lang w:val="uk-UA"/>
        </w:rPr>
      </w:pPr>
      <w:r>
        <w:rPr>
          <w:rFonts w:cs="Times New Roman"/>
          <w:sz w:val="28"/>
          <w:szCs w:val="28"/>
          <w:lang w:val="uk-UA"/>
        </w:rPr>
        <w:t>12.2. Для фармацевтичних (аптечних) закладів:</w:t>
      </w:r>
    </w:p>
    <w:p w:rsidR="00FC6DC6" w:rsidRDefault="00FC6DC6">
      <w:pPr>
        <w:ind w:firstLine="709"/>
        <w:jc w:val="both"/>
        <w:rPr>
          <w:rFonts w:cs="Times New Roman"/>
          <w:color w:val="000000"/>
          <w:sz w:val="28"/>
          <w:szCs w:val="28"/>
          <w:lang w:val="uk-UA"/>
        </w:rPr>
      </w:pPr>
      <w:r>
        <w:rPr>
          <w:rFonts w:cs="Times New Roman"/>
          <w:color w:val="000000"/>
          <w:sz w:val="28"/>
          <w:szCs w:val="28"/>
          <w:lang w:val="uk-UA"/>
        </w:rPr>
        <w:t xml:space="preserve">P = N х Q, де: </w:t>
      </w:r>
    </w:p>
    <w:p w:rsidR="00FC6DC6" w:rsidRDefault="00FC6DC6">
      <w:pPr>
        <w:ind w:firstLine="709"/>
        <w:jc w:val="both"/>
        <w:rPr>
          <w:rFonts w:cs="Times New Roman"/>
          <w:color w:val="000000"/>
          <w:sz w:val="28"/>
          <w:szCs w:val="28"/>
          <w:lang w:val="uk-UA"/>
        </w:rPr>
      </w:pPr>
      <w:r>
        <w:rPr>
          <w:rFonts w:cs="Times New Roman"/>
          <w:color w:val="000000"/>
          <w:sz w:val="28"/>
          <w:szCs w:val="28"/>
          <w:lang w:val="uk-UA"/>
        </w:rPr>
        <w:t>P – потреба в ПДР;</w:t>
      </w:r>
    </w:p>
    <w:p w:rsidR="00FC6DC6" w:rsidRDefault="00FC6DC6">
      <w:pPr>
        <w:ind w:firstLine="709"/>
        <w:jc w:val="both"/>
        <w:rPr>
          <w:rFonts w:cs="Times New Roman"/>
          <w:color w:val="000000"/>
          <w:sz w:val="28"/>
          <w:szCs w:val="28"/>
          <w:lang w:val="uk-UA"/>
        </w:rPr>
      </w:pPr>
      <w:r>
        <w:rPr>
          <w:rFonts w:cs="Times New Roman"/>
          <w:color w:val="000000"/>
          <w:sz w:val="28"/>
          <w:szCs w:val="28"/>
          <w:lang w:val="uk-UA"/>
        </w:rPr>
        <w:t xml:space="preserve">N – рекомендований норматив споживання на одну хвору особу; </w:t>
      </w:r>
    </w:p>
    <w:p w:rsidR="00FC6DC6" w:rsidRDefault="00FC6DC6">
      <w:pPr>
        <w:ind w:firstLine="709"/>
        <w:jc w:val="both"/>
        <w:rPr>
          <w:rFonts w:cs="Times New Roman"/>
          <w:color w:val="000000"/>
          <w:sz w:val="28"/>
          <w:szCs w:val="28"/>
          <w:lang w:val="uk-UA"/>
        </w:rPr>
      </w:pPr>
      <w:r>
        <w:rPr>
          <w:rFonts w:cs="Times New Roman"/>
          <w:color w:val="000000"/>
          <w:sz w:val="28"/>
          <w:szCs w:val="28"/>
          <w:lang w:val="uk-UA"/>
        </w:rPr>
        <w:t>Q - фактична кількість хворих.</w:t>
      </w:r>
    </w:p>
    <w:p w:rsidR="00FC6DC6" w:rsidRDefault="00FC6DC6">
      <w:pPr>
        <w:ind w:firstLine="709"/>
        <w:jc w:val="both"/>
        <w:rPr>
          <w:rFonts w:cs="Times New Roman"/>
          <w:color w:val="000000"/>
          <w:sz w:val="28"/>
          <w:szCs w:val="28"/>
          <w:lang w:val="uk-UA"/>
        </w:rPr>
      </w:pPr>
      <w:r>
        <w:rPr>
          <w:rFonts w:cs="Times New Roman"/>
          <w:color w:val="000000"/>
          <w:sz w:val="28"/>
          <w:szCs w:val="28"/>
          <w:lang w:val="uk-UA"/>
        </w:rPr>
        <w:t xml:space="preserve">12.3. Для </w:t>
      </w:r>
      <w:r>
        <w:rPr>
          <w:rFonts w:cs="Times New Roman"/>
          <w:sz w:val="28"/>
          <w:szCs w:val="28"/>
          <w:lang w:val="uk-UA"/>
        </w:rPr>
        <w:t>ЦЕМД та МК</w:t>
      </w:r>
      <w:r>
        <w:rPr>
          <w:rFonts w:cs="Times New Roman"/>
          <w:color w:val="000000"/>
          <w:sz w:val="28"/>
          <w:szCs w:val="28"/>
          <w:lang w:val="uk-UA"/>
        </w:rPr>
        <w:t>:</w:t>
      </w:r>
    </w:p>
    <w:p w:rsidR="00FC6DC6" w:rsidRDefault="00FC6DC6">
      <w:pPr>
        <w:ind w:firstLine="709"/>
        <w:jc w:val="both"/>
        <w:rPr>
          <w:rFonts w:cs="Times New Roman"/>
          <w:color w:val="000000"/>
          <w:sz w:val="28"/>
          <w:szCs w:val="28"/>
          <w:lang w:val="uk-UA"/>
        </w:rPr>
      </w:pPr>
      <w:r>
        <w:rPr>
          <w:rFonts w:cs="Times New Roman"/>
          <w:color w:val="000000"/>
          <w:sz w:val="28"/>
          <w:szCs w:val="28"/>
          <w:lang w:val="uk-UA"/>
        </w:rPr>
        <w:t xml:space="preserve">P = N х Q, де: </w:t>
      </w:r>
    </w:p>
    <w:p w:rsidR="00FC6DC6" w:rsidRDefault="00FC6DC6">
      <w:pPr>
        <w:ind w:firstLine="709"/>
        <w:jc w:val="both"/>
        <w:rPr>
          <w:rFonts w:cs="Times New Roman"/>
          <w:color w:val="000000"/>
          <w:sz w:val="28"/>
          <w:szCs w:val="28"/>
          <w:lang w:val="uk-UA"/>
        </w:rPr>
      </w:pPr>
      <w:r>
        <w:rPr>
          <w:rFonts w:cs="Times New Roman"/>
          <w:color w:val="000000"/>
          <w:sz w:val="28"/>
          <w:szCs w:val="28"/>
          <w:lang w:val="uk-UA"/>
        </w:rPr>
        <w:t>P – потреба в ПДР;</w:t>
      </w:r>
    </w:p>
    <w:p w:rsidR="00FC6DC6" w:rsidRDefault="00FC6DC6">
      <w:pPr>
        <w:ind w:firstLine="709"/>
        <w:jc w:val="both"/>
        <w:rPr>
          <w:rFonts w:cs="Times New Roman"/>
          <w:color w:val="000000"/>
          <w:sz w:val="28"/>
          <w:szCs w:val="28"/>
          <w:lang w:val="uk-UA"/>
        </w:rPr>
      </w:pPr>
      <w:r>
        <w:rPr>
          <w:rFonts w:cs="Times New Roman"/>
          <w:color w:val="000000"/>
          <w:sz w:val="28"/>
          <w:szCs w:val="28"/>
          <w:lang w:val="uk-UA"/>
        </w:rPr>
        <w:t>N – рекомендований норматив споживання на один виїзд</w:t>
      </w:r>
      <w:r>
        <w:rPr>
          <w:rFonts w:cs="Times New Roman"/>
          <w:sz w:val="28"/>
          <w:szCs w:val="28"/>
          <w:lang w:val="uk-UA"/>
        </w:rPr>
        <w:t xml:space="preserve"> бригадою ЦЕМД та МК</w:t>
      </w:r>
      <w:r>
        <w:rPr>
          <w:rFonts w:cs="Times New Roman"/>
          <w:color w:val="000000"/>
          <w:sz w:val="28"/>
          <w:szCs w:val="28"/>
          <w:lang w:val="uk-UA"/>
        </w:rPr>
        <w:t xml:space="preserve"> ;</w:t>
      </w:r>
    </w:p>
    <w:p w:rsidR="00FC6DC6" w:rsidRDefault="00FC6DC6">
      <w:pPr>
        <w:ind w:firstLine="709"/>
        <w:jc w:val="both"/>
        <w:rPr>
          <w:rFonts w:cs="Times New Roman"/>
          <w:color w:val="000000"/>
          <w:sz w:val="28"/>
          <w:szCs w:val="28"/>
          <w:lang w:val="uk-UA"/>
        </w:rPr>
      </w:pPr>
      <w:r>
        <w:rPr>
          <w:rFonts w:cs="Times New Roman"/>
          <w:color w:val="000000"/>
          <w:sz w:val="28"/>
          <w:szCs w:val="28"/>
          <w:lang w:val="uk-UA"/>
        </w:rPr>
        <w:t xml:space="preserve">Q - фактична кількість виїздів </w:t>
      </w:r>
      <w:r>
        <w:rPr>
          <w:rFonts w:cs="Times New Roman"/>
          <w:sz w:val="28"/>
          <w:szCs w:val="28"/>
          <w:lang w:val="uk-UA"/>
        </w:rPr>
        <w:t>бригадою ЦЕМД та МК</w:t>
      </w:r>
      <w:r>
        <w:rPr>
          <w:rFonts w:cs="Times New Roman"/>
          <w:color w:val="000000"/>
          <w:sz w:val="28"/>
          <w:szCs w:val="28"/>
          <w:lang w:val="uk-UA"/>
        </w:rPr>
        <w:t xml:space="preserve"> для надання медичної допомоги.</w:t>
      </w:r>
    </w:p>
    <w:p w:rsidR="00FC6DC6" w:rsidRDefault="00FC6DC6">
      <w:pPr>
        <w:ind w:firstLine="709"/>
        <w:jc w:val="both"/>
        <w:rPr>
          <w:rFonts w:cs="Times New Roman"/>
          <w:color w:val="000000"/>
          <w:sz w:val="28"/>
          <w:szCs w:val="28"/>
          <w:lang w:val="uk-UA"/>
        </w:rPr>
      </w:pPr>
    </w:p>
    <w:p w:rsidR="00FC6DC6" w:rsidRDefault="00FC6DC6">
      <w:pPr>
        <w:ind w:firstLine="709"/>
        <w:jc w:val="both"/>
        <w:rPr>
          <w:rFonts w:cs="Times New Roman"/>
          <w:color w:val="000000"/>
          <w:sz w:val="28"/>
          <w:szCs w:val="28"/>
          <w:lang w:val="uk-UA"/>
        </w:rPr>
      </w:pPr>
      <w:r>
        <w:rPr>
          <w:rFonts w:cs="Times New Roman"/>
          <w:color w:val="000000"/>
          <w:sz w:val="28"/>
          <w:szCs w:val="28"/>
          <w:lang w:val="uk-UA"/>
        </w:rPr>
        <w:t>13. У разі використання одного чи декількох ПЛЗ із вмістом ПДР для визначення кількості одиниць виміру (ампул, таблеток, флаконів, тощо), здійснюється перерахунок діючої речовини у лікарський засіб.</w:t>
      </w:r>
    </w:p>
    <w:p w:rsidR="00FC6DC6" w:rsidRDefault="00FC6DC6">
      <w:pPr>
        <w:ind w:firstLine="709"/>
        <w:jc w:val="both"/>
        <w:rPr>
          <w:rFonts w:cs="Times New Roman"/>
          <w:sz w:val="28"/>
          <w:szCs w:val="28"/>
          <w:lang w:val="uk-UA"/>
        </w:rPr>
      </w:pPr>
      <w:r>
        <w:rPr>
          <w:rFonts w:cs="Times New Roman"/>
          <w:sz w:val="28"/>
          <w:szCs w:val="28"/>
          <w:lang w:val="uk-UA"/>
        </w:rPr>
        <w:t>14. Заявки на потребу у ПДР, та у перерахунку на ПЛЗ на наступний рік, формуються та подаються у такій послідовності:</w:t>
      </w:r>
    </w:p>
    <w:p w:rsidR="00FC6DC6" w:rsidRDefault="00FC6DC6">
      <w:pPr>
        <w:ind w:firstLine="708"/>
        <w:jc w:val="both"/>
        <w:rPr>
          <w:rFonts w:cs="Times New Roman"/>
          <w:sz w:val="28"/>
          <w:szCs w:val="28"/>
          <w:lang w:val="uk-UA"/>
        </w:rPr>
      </w:pPr>
      <w:r>
        <w:rPr>
          <w:rFonts w:cs="Times New Roman"/>
          <w:sz w:val="28"/>
          <w:szCs w:val="28"/>
          <w:lang w:val="uk-UA"/>
        </w:rPr>
        <w:t>14.1. Відділення лікувально-профілактичного закладу,  відповідно до кількості ліжок, РНС на одне ліжко та коефіцієнту відхилення, формує заявку на потребу у ПДР, та у перерахунку на ПЛЗ, за формами згідно з додатком</w:t>
      </w:r>
      <w:r>
        <w:rPr>
          <w:rFonts w:cs="Times New Roman"/>
          <w:sz w:val="28"/>
          <w:szCs w:val="28"/>
          <w:highlight w:val="yellow"/>
          <w:lang w:val="uk-UA"/>
        </w:rPr>
        <w:t xml:space="preserve"> </w:t>
      </w:r>
      <w:r>
        <w:rPr>
          <w:rFonts w:cs="Times New Roman"/>
          <w:sz w:val="28"/>
          <w:szCs w:val="28"/>
          <w:lang w:val="uk-UA"/>
        </w:rPr>
        <w:t>12, та подає її до особи відповідальної у лікувально-профілактичному закладі за узагальнення даних до 15 вересня поточного року.</w:t>
      </w:r>
    </w:p>
    <w:p w:rsidR="00FC6DC6" w:rsidRDefault="00FC6DC6">
      <w:pPr>
        <w:ind w:firstLine="709"/>
        <w:jc w:val="both"/>
        <w:rPr>
          <w:rFonts w:cs="Times New Roman"/>
          <w:sz w:val="28"/>
          <w:szCs w:val="28"/>
          <w:lang w:val="uk-UA"/>
        </w:rPr>
      </w:pPr>
      <w:r>
        <w:rPr>
          <w:rFonts w:cs="Times New Roman"/>
          <w:sz w:val="28"/>
          <w:szCs w:val="28"/>
          <w:lang w:val="uk-UA"/>
        </w:rPr>
        <w:t>14.2. Лікувально-профілактичні заклади охорони здоров’я, відповідно до кількості ліжок (за нозологіями), РНС на одне ліжко та коефіцієнту відхилення, формує заявку на потребу у ПДР, та у перерахунку на ПЛЗ, та подає її до особи відповідальної у районному структурному підрозділі з питань охорони здоров’я за узагальнення даних до 01 жовтня поточного року.</w:t>
      </w:r>
    </w:p>
    <w:p w:rsidR="00FC6DC6" w:rsidRDefault="00FC6DC6">
      <w:pPr>
        <w:ind w:firstLine="709"/>
        <w:jc w:val="both"/>
        <w:rPr>
          <w:rFonts w:cs="Times New Roman"/>
          <w:sz w:val="28"/>
          <w:szCs w:val="28"/>
          <w:lang w:val="uk-UA"/>
        </w:rPr>
      </w:pPr>
      <w:r>
        <w:rPr>
          <w:rFonts w:cs="Times New Roman"/>
          <w:sz w:val="28"/>
          <w:szCs w:val="28"/>
          <w:lang w:val="uk-UA"/>
        </w:rPr>
        <w:t>14.3. Фармацевтичні (аптечні) заклади, відповідно до кількості хворих (за видами хвороб), РНС на одну хвору особу та коефіцієнту відхилення формує заявку на потребу у ПДР, та у перерахунку у ПЛЗ та подає її до особи, відповідальної у районному структурному підрозділі з питань охорони здоров’я за узагальнення даних до 01 жовтня поточного року.</w:t>
      </w:r>
    </w:p>
    <w:p w:rsidR="00FC6DC6" w:rsidRDefault="00FC6DC6">
      <w:pPr>
        <w:ind w:firstLine="709"/>
        <w:jc w:val="both"/>
        <w:rPr>
          <w:rFonts w:cs="Times New Roman"/>
          <w:sz w:val="28"/>
          <w:szCs w:val="28"/>
          <w:lang w:val="uk-UA"/>
        </w:rPr>
      </w:pPr>
      <w:r>
        <w:rPr>
          <w:rFonts w:cs="Times New Roman"/>
          <w:sz w:val="28"/>
          <w:szCs w:val="28"/>
          <w:lang w:val="uk-UA"/>
        </w:rPr>
        <w:t>14.4. ЦЕМД та МК, відповідно до кількості виїздів для надання медичної допомоги, РНС на один виїзд бригадою ЦЕМД та МК, коефіцієнту відхилення формує заявку на потребу у ПДР, та у перерахунку у ПЛЗ та подає її до особи, відповідальної у районному структурному підрозділі з питань охорони здоров’я за узагальнення даних до  01 жовтня поточного року.</w:t>
      </w:r>
    </w:p>
    <w:p w:rsidR="00FC6DC6" w:rsidRDefault="00FC6DC6">
      <w:pPr>
        <w:ind w:firstLine="709"/>
        <w:jc w:val="both"/>
        <w:rPr>
          <w:rFonts w:cs="Times New Roman"/>
          <w:sz w:val="28"/>
          <w:szCs w:val="28"/>
          <w:lang w:val="uk-UA"/>
        </w:rPr>
      </w:pPr>
      <w:r>
        <w:rPr>
          <w:rFonts w:cs="Times New Roman"/>
          <w:sz w:val="28"/>
          <w:szCs w:val="28"/>
          <w:lang w:val="uk-UA"/>
        </w:rPr>
        <w:t>14.5.  Районний структурний підрозділ з питань охорони здоров’я подає узагальнену заявку на потребу у ПДР та у перерахунку у ПЛЗ, до особи, відповідальної за узагальнення даних у місцевому структурному підрозділі з питань охорони здоров’я, відповідно  до 10 жовтня поточного року;</w:t>
      </w:r>
    </w:p>
    <w:p w:rsidR="00FC6DC6" w:rsidRDefault="00FC6DC6">
      <w:pPr>
        <w:ind w:firstLine="709"/>
        <w:jc w:val="both"/>
        <w:rPr>
          <w:rFonts w:cs="Times New Roman"/>
          <w:sz w:val="28"/>
          <w:szCs w:val="28"/>
          <w:lang w:val="uk-UA"/>
        </w:rPr>
      </w:pPr>
      <w:r>
        <w:rPr>
          <w:rFonts w:cs="Times New Roman"/>
          <w:sz w:val="28"/>
          <w:szCs w:val="28"/>
          <w:lang w:val="uk-UA"/>
        </w:rPr>
        <w:t>14.6. Місцевий структурний підрозділ з питань охорони здоров’я подає узагальнену заявку на потребу у ПДР та у перерахунку у ПЛЗ, до особи відповідальної за узагальнення даних у регіональному структурному підрозділі з питань охорони здоров’я до 20 жовтня поточного року.</w:t>
      </w:r>
    </w:p>
    <w:p w:rsidR="00FC6DC6" w:rsidRDefault="00FC6DC6">
      <w:pPr>
        <w:ind w:firstLine="709"/>
        <w:jc w:val="both"/>
        <w:rPr>
          <w:rFonts w:cs="Times New Roman"/>
          <w:sz w:val="28"/>
          <w:szCs w:val="28"/>
          <w:lang w:val="uk-UA"/>
        </w:rPr>
      </w:pPr>
      <w:r>
        <w:rPr>
          <w:rFonts w:cs="Times New Roman"/>
          <w:sz w:val="28"/>
          <w:szCs w:val="28"/>
          <w:lang w:val="uk-UA"/>
        </w:rPr>
        <w:t xml:space="preserve">14.7. Регіональні структурні підрозділи з питань охорони здоров’я узагальнюють отримані від місцевих структурних підрозділів з питань охорони здоров’я заявки на потребу у ПДР та у перерахунку у ПЛЗ до 01 листопада поточного року подають її до МОЗ України. </w:t>
      </w:r>
    </w:p>
    <w:p w:rsidR="00FC6DC6" w:rsidRDefault="00FC6DC6">
      <w:pPr>
        <w:ind w:firstLine="709"/>
        <w:jc w:val="both"/>
        <w:rPr>
          <w:rFonts w:cs="Times New Roman"/>
          <w:sz w:val="28"/>
          <w:szCs w:val="28"/>
          <w:lang w:val="uk-UA"/>
        </w:rPr>
      </w:pPr>
    </w:p>
    <w:p w:rsidR="00FC6DC6" w:rsidRDefault="00FC6DC6">
      <w:pPr>
        <w:ind w:firstLine="709"/>
        <w:jc w:val="both"/>
        <w:rPr>
          <w:rFonts w:cs="Times New Roman"/>
          <w:sz w:val="28"/>
          <w:szCs w:val="28"/>
          <w:lang w:val="uk-UA"/>
        </w:rPr>
      </w:pPr>
      <w:r>
        <w:rPr>
          <w:rFonts w:cs="Times New Roman"/>
          <w:sz w:val="28"/>
          <w:szCs w:val="28"/>
          <w:lang w:val="uk-UA"/>
        </w:rPr>
        <w:t>15. У разі виявлення невідповідності даних у заявці на потребу закладу охорони здоров’я на наступний рік РПС, затвердженої МОЗ України, районний, місцевий та регіональний структурні підрозділи з питань охорони здоров’я вказують у письмовій формі закладу охорони здоров’я на необхідність корегування зазначеної заявки.</w:t>
      </w:r>
    </w:p>
    <w:p w:rsidR="00FC6DC6" w:rsidRDefault="00FC6DC6">
      <w:pPr>
        <w:ind w:firstLine="709"/>
        <w:jc w:val="both"/>
        <w:rPr>
          <w:rFonts w:cs="Times New Roman"/>
          <w:sz w:val="28"/>
          <w:szCs w:val="28"/>
          <w:lang w:val="uk-UA"/>
        </w:rPr>
      </w:pPr>
      <w:r>
        <w:rPr>
          <w:rFonts w:cs="Times New Roman"/>
          <w:sz w:val="28"/>
          <w:szCs w:val="28"/>
          <w:lang w:val="uk-UA"/>
        </w:rPr>
        <w:t>Заклад охорони здоров’я у триденний термін вносить зміни до заявки та повертає її адресату для подальшого узагальнення.</w:t>
      </w:r>
    </w:p>
    <w:p w:rsidR="00FC6DC6" w:rsidRDefault="00FC6DC6">
      <w:pPr>
        <w:ind w:firstLine="709"/>
        <w:jc w:val="both"/>
        <w:rPr>
          <w:rFonts w:cs="Times New Roman"/>
          <w:sz w:val="28"/>
          <w:szCs w:val="28"/>
          <w:lang w:val="uk-UA"/>
        </w:rPr>
      </w:pPr>
    </w:p>
    <w:p w:rsidR="00FC6DC6" w:rsidRDefault="00FC6DC6">
      <w:pPr>
        <w:ind w:firstLine="709"/>
        <w:jc w:val="both"/>
        <w:rPr>
          <w:rFonts w:cs="Times New Roman"/>
          <w:sz w:val="28"/>
          <w:szCs w:val="28"/>
          <w:lang w:val="uk-UA"/>
        </w:rPr>
      </w:pPr>
      <w:r>
        <w:rPr>
          <w:rFonts w:cs="Times New Roman"/>
          <w:sz w:val="28"/>
          <w:szCs w:val="28"/>
          <w:lang w:val="uk-UA"/>
        </w:rPr>
        <w:t xml:space="preserve">16. МОЗ узагальнює інформацію, отриману від регіональних структурних підрозділів з питань охорони здоров’я заявки на потребу. </w:t>
      </w:r>
    </w:p>
    <w:p w:rsidR="00FC6DC6" w:rsidRDefault="00FC6DC6">
      <w:pPr>
        <w:ind w:firstLine="709"/>
        <w:jc w:val="both"/>
        <w:rPr>
          <w:rFonts w:cs="Times New Roman"/>
          <w:sz w:val="28"/>
          <w:szCs w:val="28"/>
          <w:lang w:val="uk-UA"/>
        </w:rPr>
      </w:pPr>
      <w:r>
        <w:rPr>
          <w:rFonts w:cs="Times New Roman"/>
          <w:sz w:val="28"/>
          <w:szCs w:val="28"/>
          <w:lang w:val="uk-UA"/>
        </w:rPr>
        <w:t>Особа, відповідальна за збір та узагальнення зазначених даних аналізує їх, та у разі необхідності, у спосіб, вказаний у пункті 15, рекомендує регіональному структурному підрозділу з питань охорони здоров’я здійснити корегування заявки на потребу у ПДР, що міститься у ПЛЗ.</w:t>
      </w:r>
    </w:p>
    <w:p w:rsidR="00FC6DC6" w:rsidRDefault="00FC6DC6">
      <w:pPr>
        <w:ind w:firstLine="709"/>
        <w:jc w:val="both"/>
        <w:rPr>
          <w:rFonts w:cs="Times New Roman"/>
          <w:sz w:val="28"/>
          <w:szCs w:val="28"/>
          <w:lang w:val="uk-UA"/>
        </w:rPr>
      </w:pPr>
    </w:p>
    <w:p w:rsidR="00FC6DC6" w:rsidRDefault="00FC6DC6">
      <w:pPr>
        <w:ind w:firstLine="709"/>
        <w:jc w:val="both"/>
        <w:rPr>
          <w:rFonts w:cs="Times New Roman"/>
          <w:sz w:val="28"/>
          <w:szCs w:val="28"/>
          <w:lang w:val="uk-UA"/>
        </w:rPr>
      </w:pPr>
      <w:r>
        <w:rPr>
          <w:rFonts w:cs="Times New Roman"/>
          <w:sz w:val="28"/>
          <w:szCs w:val="28"/>
          <w:lang w:val="uk-UA"/>
        </w:rPr>
        <w:t xml:space="preserve">17. Річний резерв ПДР становить 15% від всіх узагальнених даних. </w:t>
      </w:r>
    </w:p>
    <w:p w:rsidR="00FC6DC6" w:rsidRDefault="00FC6DC6">
      <w:pPr>
        <w:ind w:firstLine="709"/>
        <w:jc w:val="both"/>
        <w:rPr>
          <w:rFonts w:cs="Times New Roman"/>
          <w:sz w:val="28"/>
          <w:szCs w:val="28"/>
          <w:lang w:val="uk-UA"/>
        </w:rPr>
      </w:pPr>
    </w:p>
    <w:p w:rsidR="00FC6DC6" w:rsidRDefault="00FC6DC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8"/>
          <w:szCs w:val="28"/>
          <w:lang w:val="uk-UA"/>
        </w:rPr>
      </w:pPr>
      <w:r>
        <w:rPr>
          <w:rFonts w:ascii="Times New Roman" w:hAnsi="Times New Roman" w:cs="Times New Roman"/>
          <w:sz w:val="28"/>
          <w:szCs w:val="28"/>
          <w:lang w:val="uk-UA"/>
        </w:rPr>
        <w:tab/>
        <w:t>18. МОЗ на підставі зведеної заявки на потребу у ПДР та річного резерву ПДР готує проект акта Кабінету Міністрів України щодо затвердження обсягів квот, у межах яких здійснюється культивування рослин, що містять наркотичні засоби і психотропні речовини, виробництво, виготовлення, зберігання, ввезення на територію України та вивезення з території України наркотичних засобів і психотропних речовин на наступний рік.</w:t>
      </w:r>
    </w:p>
    <w:p w:rsidR="00FC6DC6" w:rsidRDefault="00FC6DC6">
      <w:pPr>
        <w:spacing w:after="120"/>
        <w:jc w:val="both"/>
        <w:rPr>
          <w:rFonts w:cs="Times New Roman"/>
          <w:b/>
          <w:bCs/>
          <w:sz w:val="28"/>
          <w:szCs w:val="28"/>
          <w:lang w:val="uk-UA"/>
        </w:rPr>
      </w:pPr>
    </w:p>
    <w:sectPr w:rsidR="00FC6DC6" w:rsidSect="00FC6DC6">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8D5848"/>
    <w:multiLevelType w:val="multilevel"/>
    <w:tmpl w:val="D368C1A8"/>
    <w:lvl w:ilvl="0">
      <w:start w:val="9"/>
      <w:numFmt w:val="bullet"/>
      <w:lvlText w:val="-"/>
      <w:lvlJc w:val="left"/>
      <w:pPr>
        <w:ind w:left="795" w:hanging="360"/>
      </w:pPr>
      <w:rPr>
        <w:rFonts w:hint="default"/>
      </w:rPr>
    </w:lvl>
    <w:lvl w:ilvl="1">
      <w:start w:val="1"/>
      <w:numFmt w:val="bullet"/>
      <w:lvlText w:val="o"/>
      <w:lvlJc w:val="left"/>
      <w:pPr>
        <w:ind w:left="1515" w:hanging="360"/>
      </w:pPr>
      <w:rPr>
        <w:rFonts w:ascii="Courier New" w:hAnsi="Courier New" w:cs="Courier New" w:hint="default"/>
      </w:rPr>
    </w:lvl>
    <w:lvl w:ilvl="2">
      <w:start w:val="1"/>
      <w:numFmt w:val="bullet"/>
      <w:lvlText w:val=""/>
      <w:lvlJc w:val="left"/>
      <w:pPr>
        <w:ind w:left="2235" w:hanging="360"/>
      </w:pPr>
      <w:rPr>
        <w:rFonts w:ascii="Wingdings" w:hAnsi="Wingdings" w:cs="Wingdings" w:hint="default"/>
      </w:rPr>
    </w:lvl>
    <w:lvl w:ilvl="3">
      <w:start w:val="1"/>
      <w:numFmt w:val="bullet"/>
      <w:lvlText w:val=""/>
      <w:lvlJc w:val="left"/>
      <w:pPr>
        <w:ind w:left="2955" w:hanging="360"/>
      </w:pPr>
      <w:rPr>
        <w:rFonts w:ascii="Symbol" w:hAnsi="Symbol" w:cs="Symbol" w:hint="default"/>
      </w:rPr>
    </w:lvl>
    <w:lvl w:ilvl="4">
      <w:start w:val="1"/>
      <w:numFmt w:val="bullet"/>
      <w:lvlText w:val="o"/>
      <w:lvlJc w:val="left"/>
      <w:pPr>
        <w:ind w:left="3675" w:hanging="360"/>
      </w:pPr>
      <w:rPr>
        <w:rFonts w:ascii="Courier New" w:hAnsi="Courier New" w:cs="Courier New" w:hint="default"/>
      </w:rPr>
    </w:lvl>
    <w:lvl w:ilvl="5">
      <w:start w:val="1"/>
      <w:numFmt w:val="bullet"/>
      <w:lvlText w:val=""/>
      <w:lvlJc w:val="left"/>
      <w:pPr>
        <w:ind w:left="4395" w:hanging="360"/>
      </w:pPr>
      <w:rPr>
        <w:rFonts w:ascii="Wingdings" w:hAnsi="Wingdings" w:cs="Wingdings" w:hint="default"/>
      </w:rPr>
    </w:lvl>
    <w:lvl w:ilvl="6">
      <w:start w:val="1"/>
      <w:numFmt w:val="bullet"/>
      <w:lvlText w:val=""/>
      <w:lvlJc w:val="left"/>
      <w:pPr>
        <w:ind w:left="5115" w:hanging="360"/>
      </w:pPr>
      <w:rPr>
        <w:rFonts w:ascii="Symbol" w:hAnsi="Symbol" w:cs="Symbol" w:hint="default"/>
      </w:rPr>
    </w:lvl>
    <w:lvl w:ilvl="7">
      <w:start w:val="1"/>
      <w:numFmt w:val="bullet"/>
      <w:lvlText w:val="o"/>
      <w:lvlJc w:val="left"/>
      <w:pPr>
        <w:ind w:left="5835" w:hanging="360"/>
      </w:pPr>
      <w:rPr>
        <w:rFonts w:ascii="Courier New" w:hAnsi="Courier New" w:cs="Courier New" w:hint="default"/>
      </w:rPr>
    </w:lvl>
    <w:lvl w:ilvl="8">
      <w:start w:val="1"/>
      <w:numFmt w:val="bullet"/>
      <w:lvlText w:val=""/>
      <w:lvlJc w:val="left"/>
      <w:pPr>
        <w:ind w:left="6555"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6DC6"/>
    <w:rsid w:val="00FC6DC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unhideWhenUsed="0"/>
    <w:lsdException w:name="HTML Preformatted"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pPr>
    <w:rPr>
      <w:rFonts w:ascii="Times New Roman" w:hAnsi="Times New Roman"/>
      <w:sz w:val="24"/>
      <w:szCs w:val="24"/>
      <w:lang w:val="ru-RU"/>
    </w:rPr>
  </w:style>
  <w:style w:type="paragraph" w:styleId="Heading2">
    <w:name w:val="heading 2"/>
    <w:basedOn w:val="Normal"/>
    <w:next w:val="Normal"/>
    <w:link w:val="Heading2Char"/>
    <w:uiPriority w:val="99"/>
    <w:qFormat/>
    <w:pPr>
      <w:keepNext/>
      <w:jc w:val="right"/>
      <w:outlineLvl w:val="1"/>
    </w:pPr>
    <w:rPr>
      <w:rFonts w:ascii="Arial" w:hAnsi="Arial" w:cs="Arial"/>
      <w:b/>
      <w:bCs/>
      <w:sz w:val="26"/>
      <w:szCs w:val="26"/>
      <w:lang w:val="uk-UA"/>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Pr>
      <w:rFonts w:ascii="Arial" w:hAnsi="Arial" w:cs="Arial"/>
      <w:b/>
      <w:bCs/>
      <w:sz w:val="20"/>
      <w:szCs w:val="20"/>
      <w:lang w:val="uk-UA"/>
    </w:rPr>
  </w:style>
  <w:style w:type="paragraph" w:styleId="NormalWeb">
    <w:name w:val="Normal (Web)"/>
    <w:basedOn w:val="Normal"/>
    <w:uiPriority w:val="99"/>
    <w:pPr>
      <w:spacing w:before="100" w:after="100"/>
    </w:pPr>
  </w:style>
  <w:style w:type="paragraph" w:styleId="ListParagraph">
    <w:name w:val="List Paragraph"/>
    <w:basedOn w:val="Normal"/>
    <w:uiPriority w:val="99"/>
    <w:qFormat/>
    <w:pPr>
      <w:ind w:left="720"/>
    </w:p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Pr>
      <w:rFonts w:ascii="Courier New" w:hAnsi="Courier New" w:cs="Courier New"/>
      <w:sz w:val="20"/>
      <w:szCs w:val="20"/>
      <w:lang/>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Pages>
  <Words>2338</Words>
  <Characters>13330</Characters>
  <Application>Microsoft Office Outlook</Application>
  <DocSecurity>0</DocSecurity>
  <Lines>0</Lines>
  <Paragraphs>0</Paragraphs>
  <ScaleCrop>false</ScaleCrop>
  <Company>2</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щгша</dc:creator>
  <cp:keywords/>
  <dc:description/>
  <cp:lastModifiedBy>1</cp:lastModifiedBy>
  <cp:revision>2</cp:revision>
  <dcterms:created xsi:type="dcterms:W3CDTF">2015-12-03T13:14:00Z</dcterms:created>
  <dcterms:modified xsi:type="dcterms:W3CDTF">2015-12-03T13:14:00Z</dcterms:modified>
</cp:coreProperties>
</file>